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小标宋" w:hAnsi="小标宋" w:eastAsia="小标宋" w:cs="小标宋"/>
          <w:bCs/>
          <w:sz w:val="44"/>
          <w:szCs w:val="44"/>
        </w:rPr>
      </w:pPr>
      <w:r>
        <w:rPr>
          <w:rFonts w:hint="eastAsia" w:ascii="小标宋" w:hAnsi="小标宋" w:eastAsia="小标宋" w:cs="小标宋"/>
          <w:bCs/>
          <w:sz w:val="44"/>
          <w:szCs w:val="44"/>
        </w:rPr>
        <w:t>九江萍钢钢铁有限公司</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b/>
          <w:sz w:val="44"/>
          <w:szCs w:val="44"/>
        </w:rPr>
      </w:pPr>
      <w:r>
        <w:rPr>
          <w:rFonts w:hint="eastAsia" w:ascii="小标宋" w:hAnsi="小标宋" w:eastAsia="小标宋" w:cs="小标宋"/>
          <w:b w:val="0"/>
          <w:bCs/>
          <w:sz w:val="44"/>
          <w:szCs w:val="44"/>
          <w:highlight w:val="none"/>
          <w:lang w:val="en-US" w:eastAsia="zh-CN"/>
        </w:rPr>
        <w:t>动力厂220kV变电所设备及炼钢厂、轧钢厂、动力厂变压器油预防性试验</w:t>
      </w:r>
      <w:r>
        <w:rPr>
          <w:rFonts w:hint="eastAsia" w:ascii="小标宋" w:hAnsi="小标宋" w:eastAsia="小标宋" w:cs="小标宋"/>
          <w:bCs/>
          <w:sz w:val="44"/>
          <w:szCs w:val="44"/>
        </w:rPr>
        <w:t>项目招标公告</w:t>
      </w:r>
    </w:p>
    <w:p>
      <w:pPr>
        <w:keepNext w:val="0"/>
        <w:keepLines w:val="0"/>
        <w:pageBreakBefore w:val="0"/>
        <w:widowControl w:val="0"/>
        <w:kinsoku/>
        <w:wordWrap/>
        <w:overflowPunct/>
        <w:topLinePunct w:val="0"/>
        <w:autoSpaceDE/>
        <w:autoSpaceDN/>
        <w:bidi w:val="0"/>
        <w:adjustRightInd/>
        <w:snapToGrid/>
        <w:spacing w:line="0" w:lineRule="atLeast"/>
        <w:ind w:right="420"/>
        <w:jc w:val="center"/>
        <w:textAlignment w:val="auto"/>
        <w:rPr>
          <w:rFonts w:hint="default" w:ascii="仿宋" w:hAnsi="仿宋" w:eastAsia="仿宋" w:cs="仿宋"/>
          <w:kern w:val="0"/>
          <w:sz w:val="32"/>
          <w:szCs w:val="32"/>
          <w:lang w:val="en-US" w:eastAsia="zh-CN"/>
        </w:rPr>
      </w:pPr>
      <w:r>
        <w:rPr>
          <w:rFonts w:hint="eastAsia" w:ascii="仿宋" w:hAnsi="仿宋" w:eastAsia="仿宋" w:cs="仿宋"/>
          <w:sz w:val="32"/>
          <w:szCs w:val="32"/>
        </w:rPr>
        <w:t>招标编号：</w:t>
      </w:r>
      <w:r>
        <w:rPr>
          <w:rFonts w:hint="eastAsia" w:ascii="仿宋" w:hAnsi="仿宋" w:eastAsia="仿宋" w:cs="仿宋"/>
          <w:kern w:val="0"/>
          <w:sz w:val="32"/>
          <w:szCs w:val="32"/>
          <w:lang w:val="en-US" w:eastAsia="zh-CN"/>
        </w:rPr>
        <w:t>JG/ZB/SC2023-WWWZ048</w:t>
      </w:r>
    </w:p>
    <w:p>
      <w:pPr>
        <w:keepNext w:val="0"/>
        <w:keepLines w:val="0"/>
        <w:pageBreakBefore w:val="0"/>
        <w:widowControl w:val="0"/>
        <w:kinsoku/>
        <w:wordWrap/>
        <w:overflowPunct/>
        <w:topLinePunct w:val="0"/>
        <w:autoSpaceDE/>
        <w:autoSpaceDN/>
        <w:bidi w:val="0"/>
        <w:adjustRightInd/>
        <w:snapToGrid/>
        <w:spacing w:line="0" w:lineRule="atLeast"/>
        <w:ind w:right="42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九江萍钢钢铁有限公司拟对以下项目进行公开招标，欢迎符合招标条件的单位踊跃参与投标。</w:t>
      </w:r>
      <w:r>
        <w:rPr>
          <w:rFonts w:hint="eastAsia" w:ascii="仿宋" w:hAnsi="仿宋" w:eastAsia="仿宋" w:cs="仿宋"/>
          <w:sz w:val="32"/>
          <w:szCs w:val="32"/>
          <w:lang w:val="zh-CN"/>
        </w:rPr>
        <w:t>　</w:t>
      </w:r>
    </w:p>
    <w:p>
      <w:pPr>
        <w:keepNext w:val="0"/>
        <w:keepLines w:val="0"/>
        <w:pageBreakBefore w:val="0"/>
        <w:widowControl w:val="0"/>
        <w:kinsoku/>
        <w:wordWrap/>
        <w:overflowPunct/>
        <w:topLinePunct w:val="0"/>
        <w:autoSpaceDE/>
        <w:autoSpaceDN/>
        <w:bidi w:val="0"/>
        <w:adjustRightInd/>
        <w:snapToGrid/>
        <w:spacing w:line="0" w:lineRule="atLeas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一、招标项目内容、技术要求、招标数量、计划招标时间等</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 w:val="0"/>
          <w:bCs/>
          <w:kern w:val="0"/>
          <w:sz w:val="32"/>
          <w:szCs w:val="32"/>
        </w:rPr>
      </w:pPr>
      <w:r>
        <w:rPr>
          <w:rFonts w:hint="eastAsia" w:ascii="仿宋" w:hAnsi="仿宋" w:eastAsia="仿宋" w:cs="仿宋"/>
          <w:sz w:val="32"/>
          <w:szCs w:val="32"/>
        </w:rPr>
        <w:t>（一）</w:t>
      </w:r>
      <w:r>
        <w:rPr>
          <w:rFonts w:hint="eastAsia" w:ascii="仿宋" w:hAnsi="仿宋" w:eastAsia="仿宋" w:cs="仿宋"/>
          <w:bCs/>
          <w:kern w:val="0"/>
          <w:sz w:val="32"/>
          <w:szCs w:val="32"/>
        </w:rPr>
        <w:t>招标项目名称：</w:t>
      </w:r>
      <w:r>
        <w:rPr>
          <w:rFonts w:hint="eastAsia" w:ascii="仿宋" w:hAnsi="仿宋" w:eastAsia="仿宋" w:cs="仿宋"/>
          <w:b w:val="0"/>
          <w:bCs/>
          <w:sz w:val="32"/>
          <w:szCs w:val="32"/>
          <w:highlight w:val="none"/>
          <w:lang w:val="en-US" w:eastAsia="zh-CN"/>
        </w:rPr>
        <w:t>动力厂220kV变电所设备及炼钢厂、轧钢厂、动力厂变压器油预防性试验</w:t>
      </w:r>
      <w:r>
        <w:rPr>
          <w:rFonts w:hint="eastAsia" w:ascii="仿宋" w:hAnsi="仿宋" w:eastAsia="仿宋" w:cs="仿宋"/>
          <w:b w:val="0"/>
          <w:bCs/>
          <w:kern w:val="0"/>
          <w:sz w:val="32"/>
          <w:szCs w:val="32"/>
        </w:rPr>
        <w:t>。</w:t>
      </w:r>
    </w:p>
    <w:tbl>
      <w:tblPr>
        <w:tblStyle w:val="4"/>
        <w:tblW w:w="50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416"/>
        <w:gridCol w:w="1082"/>
        <w:gridCol w:w="2169"/>
        <w:gridCol w:w="1716"/>
        <w:gridCol w:w="4145"/>
        <w:gridCol w:w="417"/>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rPr>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51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02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项目内容</w:t>
            </w:r>
          </w:p>
        </w:tc>
        <w:tc>
          <w:tcPr>
            <w:tcW w:w="8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c>
          <w:tcPr>
            <w:tcW w:w="195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项目要求</w:t>
            </w:r>
          </w:p>
        </w:tc>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3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轧钢厂维修车间变压器油预防性试验外委送检</w:t>
            </w:r>
          </w:p>
        </w:tc>
        <w:tc>
          <w:tcPr>
            <w:tcW w:w="102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轧钢厂维修车间变压器油预防性试验外委送检</w:t>
            </w:r>
          </w:p>
        </w:tc>
        <w:tc>
          <w:tcPr>
            <w:tcW w:w="8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名称：变压器油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型号：25#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数量：21份</w:t>
            </w:r>
          </w:p>
        </w:tc>
        <w:tc>
          <w:tcPr>
            <w:tcW w:w="195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1.气相色谱分析、含水量、水溶性酸（PH值）、酸值、闭口闪点、介质损耗、界面张力、击穿电压检测；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2.化验标准按DL/T 722-2000；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3.判定标准按GB/T 7898-2008；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4.检验后出具供电公司认可的油品检测报告，油样无需送回。</w:t>
            </w:r>
          </w:p>
        </w:tc>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份</w:t>
            </w:r>
          </w:p>
        </w:tc>
        <w:tc>
          <w:tcPr>
            <w:tcW w:w="3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trPr>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1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炼钢厂1#、2#精炼炉变压器油预防性试验外委</w:t>
            </w:r>
          </w:p>
        </w:tc>
        <w:tc>
          <w:tcPr>
            <w:tcW w:w="102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1#、2#精炼炉变压器油预防性试验外委</w:t>
            </w:r>
          </w:p>
        </w:tc>
        <w:tc>
          <w:tcPr>
            <w:tcW w:w="8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备件名称：35KV变压器油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规格：25#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数量：2份</w:t>
            </w:r>
          </w:p>
        </w:tc>
        <w:tc>
          <w:tcPr>
            <w:tcW w:w="195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1.化验项目为气相色谱分析、含水量、水溶性酸（PH值）、酸值、闭口闪点、介质损耗、界面张力、击穿电压检测。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2.化验标准按DL/T 722-2000，判定标准按GB/T 7595-2008。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3.检验后出具供电公司认可的油品检测报告，油样由检测单位取样，油样无需送回。</w:t>
            </w:r>
          </w:p>
        </w:tc>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份</w:t>
            </w:r>
          </w:p>
        </w:tc>
        <w:tc>
          <w:tcPr>
            <w:tcW w:w="3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40" w:hRule="atLeast"/>
        </w:trPr>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1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220kV变电所及35kV变电站变压器油试验外委</w:t>
            </w:r>
          </w:p>
        </w:tc>
        <w:tc>
          <w:tcPr>
            <w:tcW w:w="102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220kV变电所及35kV变电站变压器油试验外委</w:t>
            </w:r>
          </w:p>
        </w:tc>
        <w:tc>
          <w:tcPr>
            <w:tcW w:w="81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25#变压器油试验分析（220kV主变），数量3份。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25#变压器油试验分析（35kV主变），数量18份。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25#变压器油试验分析（110kV主变），数量1份。</w:t>
            </w:r>
          </w:p>
        </w:tc>
        <w:tc>
          <w:tcPr>
            <w:tcW w:w="195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1.变压器油气相色谱分析。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2.含水量、水溶性酸（PH值）、酸值、闭口闪点、介质损耗、界面张力、击穿电压检测。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3.出具具有效应的纸质版检测报告三份。</w:t>
            </w:r>
          </w:p>
        </w:tc>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份</w:t>
            </w:r>
          </w:p>
        </w:tc>
        <w:tc>
          <w:tcPr>
            <w:tcW w:w="3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0" w:hRule="atLeast"/>
        </w:trPr>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11"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动力厂220kV变电所设备预防性试验</w:t>
            </w:r>
          </w:p>
        </w:tc>
        <w:tc>
          <w:tcPr>
            <w:tcW w:w="102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15万kVA和18万kVA主变压器试验项目</w:t>
            </w:r>
          </w:p>
        </w:tc>
        <w:tc>
          <w:tcPr>
            <w:tcW w:w="810"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1.220kV变电站全站220kV一次设备预防性试验及全套继电保护试验（含15组220kV隔离开关、5组220kV六氟化硫断路器、2组电压互感器、4组避雷器、2台主变（两台变压器油品需单独出具试验报告），不含两条进线）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2.需确保所做项目符合国家电网安全监督规范要求；如试验当中出现设备问题或故障，必须与招标单位共同商定解决；待招标单位处理完问题或故障后，再次出具合格有效的检测报告。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3.220KV变电所设备在预试中发现如开关、避雷器等设备质量潜在问题，由招标单位现场进行整改，所有备件均由招标单位提供，整改后由投标单位负责做检测工作。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4.具体实施方案由投标单位制定，招标单位予以核定后，配合投标单位进行试验。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5.项目总施工周期不超过四天。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6.所有预防性试验按（电力设备预防性试验规程）（DL/596-2021）标准执行。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7.试验后1个月内出具完整试验报告并列出试验不合格清单，提供三份纸质版报告。 </w:t>
            </w:r>
          </w:p>
        </w:tc>
        <w:tc>
          <w:tcPr>
            <w:tcW w:w="195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分接开关特性试验。2.绕组直流电阻试验。3.绕组绝缘电阻、吸收比或(和)极化指数试验。4.高、低压绕组的tgδ介损测量。5.高、低压电容型套管的tgδ和电容值测量。6.中性点接地电流测试。7.铁芯(有外引接地线的)绝缘电阻试验。8.绕组泄漏电流试验。9.变压器变比试验。10.变压器接线组别试验。11.变压器油品化验（需单独出具试验报告）。</w:t>
            </w:r>
          </w:p>
        </w:tc>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3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rPr>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1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20"/>
                <w:szCs w:val="20"/>
                <w:u w:val="none"/>
              </w:rPr>
            </w:pPr>
          </w:p>
        </w:tc>
        <w:tc>
          <w:tcPr>
            <w:tcW w:w="102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电流互感器（包括SF6型）试验项目</w:t>
            </w:r>
          </w:p>
        </w:tc>
        <w:tc>
          <w:tcPr>
            <w:tcW w:w="810"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20"/>
                <w:szCs w:val="20"/>
                <w:u w:val="none"/>
              </w:rPr>
            </w:pPr>
          </w:p>
        </w:tc>
        <w:tc>
          <w:tcPr>
            <w:tcW w:w="195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1.绕组及末屏的绝缘电阻测量。2.tgδ介损测量。3.本体微水及检漏试验。</w:t>
            </w:r>
          </w:p>
        </w:tc>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3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1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20"/>
                <w:szCs w:val="20"/>
                <w:u w:val="none"/>
              </w:rPr>
            </w:pPr>
          </w:p>
        </w:tc>
        <w:tc>
          <w:tcPr>
            <w:tcW w:w="102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电压互感器试验项目</w:t>
            </w:r>
          </w:p>
        </w:tc>
        <w:tc>
          <w:tcPr>
            <w:tcW w:w="810"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20"/>
                <w:szCs w:val="20"/>
                <w:u w:val="none"/>
              </w:rPr>
            </w:pPr>
          </w:p>
        </w:tc>
        <w:tc>
          <w:tcPr>
            <w:tcW w:w="195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1.一、二次绝缘电阻测量。2.tgδ介损及电容量测量。3.SF6气体微水及检漏、残密试验。</w:t>
            </w:r>
          </w:p>
        </w:tc>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3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60" w:hRule="atLeast"/>
        </w:trPr>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1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20"/>
                <w:szCs w:val="20"/>
                <w:u w:val="none"/>
              </w:rPr>
            </w:pPr>
          </w:p>
        </w:tc>
        <w:tc>
          <w:tcPr>
            <w:tcW w:w="102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SF6断路器试验项目</w:t>
            </w:r>
          </w:p>
        </w:tc>
        <w:tc>
          <w:tcPr>
            <w:tcW w:w="810"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20"/>
                <w:szCs w:val="20"/>
                <w:u w:val="none"/>
              </w:rPr>
            </w:pPr>
          </w:p>
        </w:tc>
        <w:tc>
          <w:tcPr>
            <w:tcW w:w="195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SF6气体微水及检漏、残密试验。2.辅助回路和控制回路绝缘电阻试验。3.分、合闸电磁铁的最低动作电压试验。4.导电回路电阻测量。5.断路器的分合闸时间测量、分合闸同期性测量。6.断路器操动机构检查。7.断路器一次交流耐压试验和局放放电试验。</w:t>
            </w:r>
          </w:p>
        </w:tc>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3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1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20"/>
                <w:szCs w:val="20"/>
                <w:u w:val="none"/>
              </w:rPr>
            </w:pPr>
          </w:p>
        </w:tc>
        <w:tc>
          <w:tcPr>
            <w:tcW w:w="102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避雷器试验项目</w:t>
            </w:r>
          </w:p>
        </w:tc>
        <w:tc>
          <w:tcPr>
            <w:tcW w:w="810"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20"/>
                <w:szCs w:val="20"/>
                <w:u w:val="none"/>
              </w:rPr>
            </w:pPr>
          </w:p>
        </w:tc>
        <w:tc>
          <w:tcPr>
            <w:tcW w:w="195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1.绝缘电阻测量。2.直流1mA电压(U1mA)及0.75U1mA下的泄漏电流试验。3.底座绝缘电阻测量。4.检查放电计数器动作情况。</w:t>
            </w:r>
          </w:p>
        </w:tc>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3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1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20"/>
                <w:szCs w:val="20"/>
                <w:u w:val="none"/>
              </w:rPr>
            </w:pPr>
          </w:p>
        </w:tc>
        <w:tc>
          <w:tcPr>
            <w:tcW w:w="102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隔离开关试验项目</w:t>
            </w:r>
          </w:p>
        </w:tc>
        <w:tc>
          <w:tcPr>
            <w:tcW w:w="810"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20"/>
                <w:szCs w:val="20"/>
                <w:u w:val="none"/>
              </w:rPr>
            </w:pPr>
          </w:p>
        </w:tc>
        <w:tc>
          <w:tcPr>
            <w:tcW w:w="195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1.二次回路的绝缘电阻测量。2.主回路电阻测量。</w:t>
            </w:r>
          </w:p>
        </w:tc>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3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1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20"/>
                <w:szCs w:val="20"/>
                <w:u w:val="none"/>
              </w:rPr>
            </w:pPr>
          </w:p>
        </w:tc>
        <w:tc>
          <w:tcPr>
            <w:tcW w:w="102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中性点电流互感器试验项目</w:t>
            </w:r>
          </w:p>
        </w:tc>
        <w:tc>
          <w:tcPr>
            <w:tcW w:w="810"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20"/>
                <w:szCs w:val="20"/>
                <w:u w:val="none"/>
              </w:rPr>
            </w:pPr>
          </w:p>
        </w:tc>
        <w:tc>
          <w:tcPr>
            <w:tcW w:w="195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绝缘电阻测量</w:t>
            </w:r>
          </w:p>
        </w:tc>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3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51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20"/>
                <w:szCs w:val="20"/>
                <w:u w:val="none"/>
              </w:rPr>
            </w:pPr>
          </w:p>
        </w:tc>
        <w:tc>
          <w:tcPr>
            <w:tcW w:w="102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间隙电流互感器试验项目</w:t>
            </w:r>
          </w:p>
        </w:tc>
        <w:tc>
          <w:tcPr>
            <w:tcW w:w="810"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20"/>
                <w:szCs w:val="20"/>
                <w:u w:val="none"/>
              </w:rPr>
            </w:pPr>
          </w:p>
        </w:tc>
        <w:tc>
          <w:tcPr>
            <w:tcW w:w="195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绝缘电阻测量</w:t>
            </w:r>
          </w:p>
        </w:tc>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3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60" w:hRule="atLeast"/>
        </w:trPr>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51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20"/>
                <w:szCs w:val="20"/>
                <w:u w:val="none"/>
              </w:rPr>
            </w:pPr>
          </w:p>
        </w:tc>
        <w:tc>
          <w:tcPr>
            <w:tcW w:w="102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220kV母联保护试验项目（总共1个间隔）</w:t>
            </w:r>
          </w:p>
        </w:tc>
        <w:tc>
          <w:tcPr>
            <w:tcW w:w="810"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20"/>
                <w:szCs w:val="20"/>
                <w:u w:val="none"/>
              </w:rPr>
            </w:pPr>
          </w:p>
        </w:tc>
        <w:tc>
          <w:tcPr>
            <w:tcW w:w="195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装置的绝缘检查，控制及保护线路的绝缘检查紧固。2.保护所用逆变电源及逆变回路工作正确性及可靠性的检验。3.零漂、采样值及开关量的检查。4.检查设计及制造部门提出的抗干扰措施的实施情况。5.数据采集回路正确性、精度的测定。6.保护程序的版本号、校验码等程序正确性及完整性的检查。7.各逻辑回路工作性能的检验。8.时间元件及延时元件工作时限的测定。9.各开出、开入回路工作性能的检验，检验各信号回路正常。10.所有保护及保护装置的整组传动试验。</w:t>
            </w:r>
          </w:p>
        </w:tc>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3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20" w:hRule="atLeast"/>
        </w:trPr>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51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20"/>
                <w:szCs w:val="20"/>
                <w:u w:val="none"/>
              </w:rPr>
            </w:pPr>
          </w:p>
        </w:tc>
        <w:tc>
          <w:tcPr>
            <w:tcW w:w="102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220kV主变保护试验项目（总共2台主变）</w:t>
            </w:r>
          </w:p>
        </w:tc>
        <w:tc>
          <w:tcPr>
            <w:tcW w:w="810"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20"/>
                <w:szCs w:val="20"/>
                <w:u w:val="none"/>
              </w:rPr>
            </w:pPr>
          </w:p>
        </w:tc>
        <w:tc>
          <w:tcPr>
            <w:tcW w:w="195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装置的绝缘检查，控制及保护线路的绝缘检查紧固。2.保护所用逆变电源及逆变回路工作正确性及可靠性的检验。3.检查设计及制造部门提出的抗干扰措施的实施情况。4.数据采集回路正确性的测定。5.保护程序的版本号、校验码等程序正确性及完整性的检查。6.各逻辑回路工作性能的检验。7.时间元件及延时元件工作时限的测定。8.各开出、开入回路工作性能的检验。9.检验各信号回路正常。10.所有保护及保护装置的整组传动试验。</w:t>
            </w:r>
          </w:p>
        </w:tc>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80" w:hRule="atLeast"/>
        </w:trPr>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51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20"/>
                <w:szCs w:val="20"/>
                <w:u w:val="none"/>
              </w:rPr>
            </w:pPr>
          </w:p>
        </w:tc>
        <w:tc>
          <w:tcPr>
            <w:tcW w:w="102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测控装置试验项目（总共10台）</w:t>
            </w:r>
          </w:p>
        </w:tc>
        <w:tc>
          <w:tcPr>
            <w:tcW w:w="810"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20"/>
                <w:szCs w:val="20"/>
                <w:u w:val="none"/>
              </w:rPr>
            </w:pPr>
          </w:p>
        </w:tc>
        <w:tc>
          <w:tcPr>
            <w:tcW w:w="195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装置的绝缘检查，控制及保护线路的检查紧固。2.所用稳压电源及稳压回路工作正确性及可靠性的检验。3.检查设计及制造部门提出的抗干扰措施的实施情况。4.程序的版本号、校验码等程序正确性及完整性的检查。5.数据采集回路各采样值、计算值正确性的测定。6.各开出、开入回路工作性能的检验。7.各逻辑回路（手合、同期）工作性能的检验。8.时间元件及延时元件工作时限的测定。9.装置网络地址及设置的检查。10.至监控系统的通信和网络功能的检验。11.各种告警信号的完好性。</w:t>
            </w:r>
          </w:p>
        </w:tc>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0" w:hRule="atLeast"/>
        </w:trPr>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51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20"/>
                <w:szCs w:val="20"/>
                <w:u w:val="none"/>
              </w:rPr>
            </w:pPr>
          </w:p>
        </w:tc>
        <w:tc>
          <w:tcPr>
            <w:tcW w:w="102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故障录波装置试验项目（总共2台）</w:t>
            </w:r>
          </w:p>
        </w:tc>
        <w:tc>
          <w:tcPr>
            <w:tcW w:w="810"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20"/>
                <w:szCs w:val="20"/>
                <w:u w:val="none"/>
              </w:rPr>
            </w:pPr>
          </w:p>
        </w:tc>
        <w:tc>
          <w:tcPr>
            <w:tcW w:w="195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装置的绝缘检查，控制及保护线路的检查紧固。2.所用稳压电源及稳压回路工作正确性及可靠性的检验。3.检查设计及制造部门提出的抗干扰措施的实施情况。4.程序的版本号、校验码等程序正确性及完整性的检查。5.数据采集回路各采样值、计算值正确性的测定。6.开入回路工作性能的检验。</w:t>
            </w:r>
          </w:p>
        </w:tc>
        <w:tc>
          <w:tcPr>
            <w:tcW w:w="19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r>
    </w:tbl>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 w:val="32"/>
          <w:szCs w:val="32"/>
          <w:lang w:val="en-US" w:eastAsia="zh-CN"/>
        </w:rPr>
      </w:pPr>
      <w:bookmarkStart w:id="0" w:name="_GoBack"/>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二</w:t>
      </w: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招标数量：单次。</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（三）计划招标时间：2023年6月15日，具体时间以通知为准。</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（四）报名截止时间：2023年6月8日12：00前。</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（五）中标后合同签订完成期限：15天内。</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六</w:t>
      </w:r>
      <w:r>
        <w:rPr>
          <w:rFonts w:hint="eastAsia" w:ascii="仿宋" w:hAnsi="仿宋" w:eastAsia="仿宋" w:cs="仿宋"/>
          <w:sz w:val="32"/>
          <w:szCs w:val="32"/>
        </w:rPr>
        <w:t>）其他：</w:t>
      </w:r>
      <w:r>
        <w:rPr>
          <w:rFonts w:hint="eastAsia" w:ascii="仿宋" w:hAnsi="仿宋" w:eastAsia="仿宋" w:cs="仿宋"/>
          <w:sz w:val="32"/>
          <w:szCs w:val="32"/>
          <w:lang w:val="en-US" w:eastAsia="zh-CN"/>
        </w:rPr>
        <w:t>以实际发生数量为准进行结算付款。</w:t>
      </w:r>
    </w:p>
    <w:p>
      <w:pPr>
        <w:keepNext w:val="0"/>
        <w:keepLines w:val="0"/>
        <w:pageBreakBefore w:val="0"/>
        <w:widowControl w:val="0"/>
        <w:kinsoku/>
        <w:wordWrap/>
        <w:overflowPunct/>
        <w:topLinePunct w:val="0"/>
        <w:autoSpaceDE/>
        <w:autoSpaceDN/>
        <w:bidi w:val="0"/>
        <w:adjustRightInd/>
        <w:snapToGrid/>
        <w:spacing w:line="0" w:lineRule="atLeas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二、资质要求</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（一）公司具有独立法人资格。法定代表人资格证明（需载明身份证号码）、代理人身份证复印件及法人授权委托书原件。</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（二）最新年检有效的企业法人营业执照副本复印件，需</w:t>
      </w:r>
      <w:r>
        <w:rPr>
          <w:rFonts w:hint="eastAsia" w:ascii="仿宋" w:hAnsi="仿宋" w:eastAsia="仿宋" w:cs="仿宋"/>
          <w:kern w:val="0"/>
          <w:sz w:val="32"/>
          <w:szCs w:val="32"/>
          <w:lang w:val="en-US" w:eastAsia="zh-CN"/>
        </w:rPr>
        <w:t>具备</w:t>
      </w:r>
      <w:r>
        <w:rPr>
          <w:rFonts w:hint="eastAsia" w:ascii="仿宋" w:hAnsi="仿宋" w:eastAsia="仿宋" w:cs="仿宋"/>
          <w:kern w:val="0"/>
          <w:sz w:val="32"/>
          <w:szCs w:val="32"/>
          <w:lang w:val="zh-CN"/>
        </w:rPr>
        <w:t>二级以上承试电力设施许可证（含二级）</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提供两份类似220KV变电所</w:t>
      </w:r>
      <w:r>
        <w:rPr>
          <w:rFonts w:hint="eastAsia" w:ascii="仿宋" w:hAnsi="仿宋" w:eastAsia="仿宋" w:cs="仿宋"/>
          <w:kern w:val="0"/>
          <w:sz w:val="32"/>
          <w:szCs w:val="32"/>
          <w:highlight w:val="none"/>
          <w:lang w:val="en-US" w:eastAsia="zh-CN"/>
        </w:rPr>
        <w:t>预防性试验项目业绩合同复印件。</w:t>
      </w:r>
    </w:p>
    <w:p>
      <w:pPr>
        <w:keepNext w:val="0"/>
        <w:keepLines w:val="0"/>
        <w:pageBreakBefore w:val="0"/>
        <w:widowControl w:val="0"/>
        <w:kinsoku/>
        <w:wordWrap/>
        <w:overflowPunct/>
        <w:topLinePunct w:val="0"/>
        <w:autoSpaceDE/>
        <w:autoSpaceDN/>
        <w:bidi w:val="0"/>
        <w:adjustRightInd/>
        <w:snapToGrid/>
        <w:spacing w:line="0" w:lineRule="atLeas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三、意向投标人提交的资格证明文件</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（一）资质材料（加盖报名单位公章）：</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1.最新年检有效的企业法人营业执照副本复印件</w:t>
      </w:r>
      <w:r>
        <w:rPr>
          <w:rFonts w:hint="eastAsia" w:ascii="仿宋" w:hAnsi="仿宋" w:eastAsia="仿宋" w:cs="仿宋"/>
          <w:kern w:val="0"/>
          <w:sz w:val="32"/>
          <w:szCs w:val="32"/>
          <w:lang w:eastAsia="zh-CN"/>
        </w:rPr>
        <w:t>，</w:t>
      </w:r>
      <w:r>
        <w:rPr>
          <w:rFonts w:hint="eastAsia" w:ascii="仿宋" w:hAnsi="仿宋" w:eastAsia="仿宋" w:cs="仿宋"/>
          <w:kern w:val="0"/>
          <w:sz w:val="32"/>
          <w:szCs w:val="32"/>
          <w:highlight w:val="none"/>
          <w:lang w:val="en-US" w:eastAsia="zh-CN"/>
        </w:rPr>
        <w:t>提供安全施工预案、安全管理人员证件、现场负责人、作业人数、特殊工种人数及作业证、安全管理体系文件。</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2.法定代表人资格证明（需载明身份证号码）、代理人身份证复印件及法人授权委托书原件。</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3.企业介绍，便于对其资质进行审查。</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4.投标单位开票信息（上述资料需加盖报名单位公章）。</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5.</w:t>
      </w:r>
      <w:r>
        <w:rPr>
          <w:rFonts w:hint="eastAsia" w:ascii="仿宋" w:hAnsi="仿宋" w:eastAsia="仿宋" w:cs="仿宋"/>
          <w:kern w:val="0"/>
          <w:sz w:val="32"/>
          <w:szCs w:val="32"/>
          <w:lang w:val="en-US" w:eastAsia="zh-CN"/>
        </w:rPr>
        <w:t>银行</w:t>
      </w:r>
      <w:r>
        <w:rPr>
          <w:rFonts w:hint="eastAsia" w:ascii="仿宋" w:hAnsi="仿宋" w:eastAsia="仿宋" w:cs="仿宋"/>
          <w:kern w:val="0"/>
          <w:sz w:val="32"/>
          <w:szCs w:val="32"/>
        </w:rPr>
        <w:t>开户许可证复印件。</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rPr>
        <w:t>二</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提交时间：报名时提交。</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提交方式：书面、电子邮件（</w:t>
      </w:r>
      <w:r>
        <w:rPr>
          <w:rFonts w:hint="eastAsia" w:ascii="仿宋" w:hAnsi="仿宋" w:eastAsia="仿宋" w:cs="仿宋"/>
          <w:kern w:val="0"/>
          <w:sz w:val="32"/>
          <w:szCs w:val="32"/>
          <w:lang w:val="en-US" w:eastAsia="zh-CN"/>
        </w:rPr>
        <w:t>电子</w:t>
      </w:r>
      <w:r>
        <w:rPr>
          <w:rFonts w:hint="eastAsia" w:ascii="仿宋" w:hAnsi="仿宋" w:eastAsia="仿宋" w:cs="仿宋"/>
          <w:kern w:val="0"/>
          <w:sz w:val="32"/>
          <w:szCs w:val="32"/>
        </w:rPr>
        <w:t>邮箱</w:t>
      </w:r>
      <w:r>
        <w:rPr>
          <w:rFonts w:hint="eastAsia" w:ascii="仿宋" w:hAnsi="仿宋" w:eastAsia="仿宋" w:cs="仿宋"/>
          <w:kern w:val="0"/>
          <w:sz w:val="32"/>
          <w:szCs w:val="32"/>
          <w:lang w:val="en-US" w:eastAsia="zh-CN"/>
        </w:rPr>
        <w:t>地址</w:t>
      </w:r>
      <w:r>
        <w:rPr>
          <w:rFonts w:hint="eastAsia" w:ascii="仿宋" w:hAnsi="仿宋" w:eastAsia="仿宋" w:cs="仿宋"/>
          <w:kern w:val="0"/>
          <w:sz w:val="32"/>
          <w:szCs w:val="32"/>
        </w:rPr>
        <w:t>：</w:t>
      </w:r>
      <w:r>
        <w:rPr>
          <w:rFonts w:ascii="仿宋" w:hAnsi="仿宋" w:eastAsia="仿宋" w:cs="仿宋"/>
          <w:i w:val="0"/>
          <w:caps w:val="0"/>
          <w:color w:val="000000"/>
          <w:spacing w:val="-6"/>
          <w:sz w:val="32"/>
          <w:szCs w:val="32"/>
        </w:rPr>
        <w:t>shengchanzhihui@pxsteel.com</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0" w:lineRule="atLeast"/>
        <w:ind w:right="420"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四、投标方式</w:t>
      </w:r>
    </w:p>
    <w:p>
      <w:pPr>
        <w:keepNext w:val="0"/>
        <w:keepLines w:val="0"/>
        <w:pageBreakBefore w:val="0"/>
        <w:widowControl w:val="0"/>
        <w:kinsoku/>
        <w:wordWrap/>
        <w:overflowPunct/>
        <w:topLinePunct w:val="0"/>
        <w:autoSpaceDE/>
        <w:autoSpaceDN/>
        <w:bidi w:val="0"/>
        <w:adjustRightInd/>
        <w:snapToGrid/>
        <w:spacing w:line="0" w:lineRule="atLeast"/>
        <w:ind w:right="26"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招标单位对意向投标单位提交的资质材料进行审查，向审查合格单位发出招标邀请函（说明书），接到招标邀请函（说明书）的单位请按邀请函（说明书）要求时间交纳相应投标保证金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kern w:val="0"/>
          <w:sz w:val="32"/>
          <w:szCs w:val="32"/>
          <w:lang w:val="en-US" w:eastAsia="zh-CN"/>
        </w:rPr>
        <w:t>10000</w:t>
      </w:r>
      <w:r>
        <w:rPr>
          <w:rFonts w:hint="eastAsia" w:ascii="仿宋" w:hAnsi="仿宋" w:eastAsia="仿宋" w:cs="仿宋"/>
          <w:kern w:val="0"/>
          <w:sz w:val="32"/>
          <w:szCs w:val="32"/>
        </w:rPr>
        <w:t>元、招标服务费</w:t>
      </w:r>
      <w:r>
        <w:rPr>
          <w:rFonts w:hint="eastAsia" w:ascii="仿宋" w:hAnsi="仿宋" w:eastAsia="仿宋" w:cs="仿宋"/>
          <w:kern w:val="0"/>
          <w:sz w:val="32"/>
          <w:szCs w:val="32"/>
          <w:lang w:val="en-US" w:eastAsia="zh-CN"/>
        </w:rPr>
        <w:t>200</w:t>
      </w:r>
      <w:r>
        <w:rPr>
          <w:rFonts w:hint="eastAsia" w:ascii="仿宋" w:hAnsi="仿宋" w:eastAsia="仿宋" w:cs="仿宋"/>
          <w:kern w:val="0"/>
          <w:sz w:val="32"/>
          <w:szCs w:val="32"/>
        </w:rPr>
        <w:t>元。招标结束后，中标单位的投标保证金自动转为履约保证金，不足部分应予以补齐，未中标单位的投标保证金在宣标后十五个工作日内一次性返还（不计息）。</w:t>
      </w:r>
    </w:p>
    <w:p>
      <w:pPr>
        <w:keepNext w:val="0"/>
        <w:keepLines w:val="0"/>
        <w:pageBreakBefore w:val="0"/>
        <w:widowControl w:val="0"/>
        <w:kinsoku/>
        <w:wordWrap/>
        <w:overflowPunct/>
        <w:topLinePunct w:val="0"/>
        <w:autoSpaceDE/>
        <w:autoSpaceDN/>
        <w:bidi w:val="0"/>
        <w:adjustRightInd/>
        <w:snapToGrid/>
        <w:spacing w:line="0" w:lineRule="atLeast"/>
        <w:ind w:right="420"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五、招标方信息</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（一）单位名称：九江萍钢钢铁有限公司</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（二）联系地址：江西省九江市湖口高新技术产业园区九江萍钢钢铁有限公司生产指挥中心</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邮编：332500</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（三）联系人：</w:t>
      </w:r>
      <w:r>
        <w:rPr>
          <w:rFonts w:hint="eastAsia" w:ascii="仿宋" w:hAnsi="仿宋" w:eastAsia="仿宋" w:cs="仿宋"/>
          <w:kern w:val="0"/>
          <w:sz w:val="32"/>
          <w:szCs w:val="32"/>
          <w:lang w:eastAsia="zh-CN"/>
        </w:rPr>
        <w:t>王</w:t>
      </w:r>
      <w:r>
        <w:rPr>
          <w:rFonts w:hint="eastAsia" w:ascii="仿宋" w:hAnsi="仿宋" w:eastAsia="仿宋" w:cs="仿宋"/>
          <w:kern w:val="0"/>
          <w:sz w:val="32"/>
          <w:szCs w:val="32"/>
        </w:rPr>
        <w:t>工</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1887021</w:t>
      </w:r>
      <w:r>
        <w:rPr>
          <w:rFonts w:hint="eastAsia" w:ascii="仿宋" w:hAnsi="仿宋" w:eastAsia="仿宋" w:cs="仿宋"/>
          <w:kern w:val="0"/>
          <w:sz w:val="32"/>
          <w:szCs w:val="32"/>
          <w:lang w:val="en-US" w:eastAsia="zh-CN"/>
        </w:rPr>
        <w:t>4606</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（四）</w:t>
      </w:r>
      <w:r>
        <w:rPr>
          <w:rFonts w:hint="eastAsia" w:ascii="仿宋" w:hAnsi="仿宋" w:eastAsia="仿宋" w:cs="仿宋"/>
          <w:spacing w:val="0"/>
          <w:w w:val="100"/>
          <w:kern w:val="0"/>
          <w:szCs w:val="32"/>
        </w:rPr>
        <w:t>法务监审部监督电话：</w:t>
      </w:r>
      <w:r>
        <w:rPr>
          <w:rFonts w:hint="eastAsia" w:ascii="仿宋" w:hAnsi="仿宋" w:eastAsia="仿宋" w:cs="仿宋"/>
          <w:kern w:val="0"/>
          <w:sz w:val="32"/>
          <w:szCs w:val="32"/>
        </w:rPr>
        <w:t>0792-6327149，电子邮箱地址：Jgjianshengbu@126.com</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right="420"/>
        <w:jc w:val="righ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九江萍钢钢铁有限公司</w:t>
      </w:r>
      <w:r>
        <w:rPr>
          <w:rFonts w:hint="eastAsia" w:ascii="仿宋" w:hAnsi="仿宋" w:eastAsia="仿宋" w:cs="仿宋"/>
          <w:kern w:val="0"/>
          <w:sz w:val="32"/>
          <w:szCs w:val="32"/>
          <w:lang w:val="en-US" w:eastAsia="zh-CN"/>
        </w:rPr>
        <w:t>生产指挥中心</w:t>
      </w:r>
    </w:p>
    <w:p>
      <w:pPr>
        <w:keepNext w:val="0"/>
        <w:keepLines w:val="0"/>
        <w:pageBreakBefore w:val="0"/>
        <w:widowControl w:val="0"/>
        <w:kinsoku/>
        <w:wordWrap/>
        <w:overflowPunct/>
        <w:topLinePunct w:val="0"/>
        <w:autoSpaceDE/>
        <w:autoSpaceDN/>
        <w:bidi w:val="0"/>
        <w:adjustRightInd/>
        <w:snapToGrid/>
        <w:spacing w:line="0" w:lineRule="atLeast"/>
        <w:ind w:right="420"/>
        <w:jc w:val="righ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2023年5月25日</w:t>
      </w:r>
    </w:p>
    <w:bookmarkEnd w:id="0"/>
    <w:p>
      <w:pPr>
        <w:bidi w:val="0"/>
        <w:rPr>
          <w:rFonts w:hint="eastAsia" w:ascii="Times New Roman" w:hAnsi="Times New Roman" w:eastAsia="仿宋_GB2312" w:cs="Times New Roman"/>
          <w:kern w:val="2"/>
          <w:sz w:val="32"/>
          <w:lang w:val="en-US" w:eastAsia="zh-CN" w:bidi="ar-SA"/>
        </w:rPr>
      </w:pPr>
    </w:p>
    <w:p>
      <w:pPr>
        <w:keepNext w:val="0"/>
        <w:keepLines w:val="0"/>
        <w:pageBreakBefore w:val="0"/>
        <w:kinsoku/>
        <w:wordWrap/>
        <w:overflowPunct/>
        <w:topLinePunct w:val="0"/>
        <w:autoSpaceDN/>
        <w:bidi w:val="0"/>
        <w:adjustRightInd/>
        <w:spacing w:line="0" w:lineRule="atLeast"/>
        <w:ind w:right="420"/>
        <w:rPr>
          <w:rFonts w:ascii="仿宋" w:hAnsi="仿宋" w:eastAsia="仿宋" w:cs="仿宋"/>
          <w:color w:val="auto"/>
          <w:kern w:val="0"/>
          <w:szCs w:val="32"/>
        </w:rPr>
      </w:pPr>
      <w:r>
        <w:rPr>
          <w:rFonts w:hint="eastAsia" w:ascii="仿宋" w:hAnsi="仿宋" w:eastAsia="仿宋" w:cs="仿宋"/>
          <w:color w:val="auto"/>
          <w:kern w:val="0"/>
          <w:szCs w:val="32"/>
        </w:rPr>
        <w:t>附件</w:t>
      </w:r>
      <w:r>
        <w:rPr>
          <w:rFonts w:hint="eastAsia" w:ascii="仿宋" w:hAnsi="仿宋" w:eastAsia="仿宋" w:cs="仿宋"/>
          <w:color w:val="auto"/>
          <w:kern w:val="0"/>
          <w:szCs w:val="32"/>
          <w:lang w:eastAsia="zh-CN"/>
        </w:rPr>
        <w:t>一</w:t>
      </w:r>
      <w:r>
        <w:rPr>
          <w:rFonts w:hint="eastAsia" w:ascii="仿宋" w:hAnsi="仿宋" w:eastAsia="仿宋" w:cs="仿宋"/>
          <w:color w:val="auto"/>
          <w:kern w:val="0"/>
          <w:szCs w:val="32"/>
        </w:rPr>
        <w:t>：</w:t>
      </w:r>
    </w:p>
    <w:p>
      <w:pPr>
        <w:keepNext w:val="0"/>
        <w:keepLines w:val="0"/>
        <w:pageBreakBefore w:val="0"/>
        <w:widowControl/>
        <w:kinsoku/>
        <w:wordWrap/>
        <w:overflowPunct/>
        <w:topLinePunct w:val="0"/>
        <w:autoSpaceDE/>
        <w:autoSpaceDN/>
        <w:bidi w:val="0"/>
        <w:adjustRightInd/>
        <w:snapToGrid w:val="0"/>
        <w:spacing w:line="0" w:lineRule="atLeast"/>
        <w:ind w:right="25"/>
        <w:jc w:val="center"/>
        <w:textAlignment w:val="auto"/>
        <w:rPr>
          <w:rFonts w:hint="eastAsia" w:ascii="小标宋" w:hAnsi="Calibri" w:eastAsia="小标宋" w:cs="宋体"/>
          <w:b/>
          <w:color w:val="auto"/>
          <w:kern w:val="0"/>
          <w:sz w:val="44"/>
          <w:szCs w:val="44"/>
        </w:rPr>
      </w:pPr>
      <w:r>
        <w:rPr>
          <w:rFonts w:hint="eastAsia" w:ascii="小标宋" w:hAnsi="Calibri" w:eastAsia="小标宋" w:cs="宋体"/>
          <w:b/>
          <w:color w:val="auto"/>
          <w:kern w:val="0"/>
          <w:sz w:val="44"/>
          <w:szCs w:val="44"/>
        </w:rPr>
        <w:fldChar w:fldCharType="begin"/>
      </w:r>
      <w:r>
        <w:rPr>
          <w:rFonts w:hint="eastAsia" w:ascii="小标宋" w:hAnsi="Calibri" w:eastAsia="小标宋" w:cs="宋体"/>
          <w:b/>
          <w:color w:val="auto"/>
          <w:kern w:val="0"/>
          <w:sz w:val="44"/>
          <w:szCs w:val="44"/>
        </w:rPr>
        <w:instrText xml:space="preserve"> HYPERLINK "http://www.so.com/s?q=%E6%B3%95%E4%BA%BA%E4%BB%A3%E8%A1%A8&amp;ie=utf-8&amp;src=wenda_link" \t "_blank" </w:instrText>
      </w:r>
      <w:r>
        <w:rPr>
          <w:rFonts w:hint="eastAsia" w:ascii="小标宋" w:hAnsi="Calibri" w:eastAsia="小标宋" w:cs="宋体"/>
          <w:b/>
          <w:color w:val="auto"/>
          <w:kern w:val="0"/>
          <w:sz w:val="44"/>
          <w:szCs w:val="44"/>
        </w:rPr>
        <w:fldChar w:fldCharType="separate"/>
      </w:r>
      <w:r>
        <w:rPr>
          <w:rFonts w:hint="eastAsia" w:ascii="小标宋" w:hAnsi="Calibri" w:eastAsia="小标宋" w:cs="宋体"/>
          <w:b/>
          <w:color w:val="auto"/>
          <w:kern w:val="0"/>
          <w:sz w:val="44"/>
          <w:szCs w:val="44"/>
        </w:rPr>
        <w:t>法人代表</w:t>
      </w:r>
      <w:r>
        <w:rPr>
          <w:rFonts w:hint="eastAsia" w:ascii="小标宋" w:hAnsi="Calibri" w:eastAsia="小标宋" w:cs="宋体"/>
          <w:b/>
          <w:color w:val="auto"/>
          <w:kern w:val="0"/>
          <w:sz w:val="44"/>
          <w:szCs w:val="44"/>
        </w:rPr>
        <w:fldChar w:fldCharType="end"/>
      </w:r>
      <w:r>
        <w:rPr>
          <w:rFonts w:hint="eastAsia" w:ascii="小标宋" w:hAnsi="Calibri" w:eastAsia="小标宋" w:cs="宋体"/>
          <w:b/>
          <w:color w:val="auto"/>
          <w:kern w:val="0"/>
          <w:sz w:val="44"/>
          <w:szCs w:val="44"/>
        </w:rPr>
        <w:t>授权委托书</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b/>
          <w:bCs/>
          <w:color w:val="auto"/>
          <w:kern w:val="0"/>
          <w:sz w:val="28"/>
          <w:szCs w:val="28"/>
          <w:shd w:val="clear" w:color="auto" w:fill="FFFFFF"/>
        </w:rPr>
      </w:pP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Calibri" w:hAnsi="Calibri" w:cs="宋体"/>
          <w:color w:val="auto"/>
          <w:kern w:val="0"/>
          <w:szCs w:val="21"/>
        </w:rPr>
      </w:pPr>
      <w:r>
        <w:rPr>
          <w:rFonts w:hint="eastAsia" w:ascii="仿宋_GB2312" w:hAnsi="Calibri" w:eastAsia="仿宋_GB2312" w:cs="宋体"/>
          <w:b/>
          <w:bCs/>
          <w:color w:val="auto"/>
          <w:kern w:val="0"/>
          <w:sz w:val="28"/>
          <w:szCs w:val="28"/>
          <w:shd w:val="clear" w:color="auto" w:fill="FFFFFF"/>
        </w:rPr>
        <w:t>九江萍钢钢铁有限公司</w:t>
      </w:r>
      <w:r>
        <w:rPr>
          <w:rFonts w:hint="eastAsia" w:ascii="仿宋_GB2312" w:hAnsi="Calibri" w:eastAsia="仿宋_GB2312" w:cs="宋体"/>
          <w:color w:val="auto"/>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firstLineChars="200"/>
        <w:textAlignment w:val="auto"/>
        <w:rPr>
          <w:rFonts w:ascii="Calibri" w:hAnsi="Calibri" w:cs="宋体"/>
          <w:color w:val="auto"/>
          <w:kern w:val="0"/>
          <w:szCs w:val="21"/>
        </w:rPr>
      </w:pP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是中华人民共和国合法企业，法定地址：</w:t>
      </w: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rPr>
        <w:t>必填</w:t>
      </w:r>
      <w:r>
        <w:rPr>
          <w:rFonts w:hint="eastAsia" w:ascii="仿宋_GB2312" w:hAnsi="Calibri" w:eastAsia="仿宋_GB2312" w:cs="宋体"/>
          <w:color w:val="auto"/>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法定代表人</w:t>
      </w:r>
      <w:r>
        <w:rPr>
          <w:rFonts w:ascii="微软雅黑" w:hAnsi="微软雅黑" w:cs="宋体"/>
          <w:color w:val="auto"/>
          <w:kern w:val="0"/>
          <w:sz w:val="28"/>
          <w:szCs w:val="28"/>
          <w:shd w:val="clear" w:color="auto" w:fill="FFFFFF"/>
        </w:rPr>
        <w:t>________</w:t>
      </w:r>
      <w:r>
        <w:rPr>
          <w:rFonts w:hint="eastAsia" w:ascii="仿宋_GB2312" w:hAnsi="Calibri" w:eastAsia="仿宋_GB2312" w:cs="宋体"/>
          <w:color w:val="auto"/>
          <w:kern w:val="0"/>
          <w:sz w:val="28"/>
          <w:szCs w:val="28"/>
          <w:shd w:val="clear" w:color="auto" w:fill="FFFFFF"/>
        </w:rPr>
        <w:t>特授权</w:t>
      </w:r>
      <w:r>
        <w:rPr>
          <w:rFonts w:ascii="微软雅黑" w:hAnsi="微软雅黑" w:cs="宋体"/>
          <w:color w:val="auto"/>
          <w:kern w:val="0"/>
          <w:sz w:val="28"/>
          <w:szCs w:val="28"/>
          <w:shd w:val="clear" w:color="auto" w:fill="FFFFFF"/>
        </w:rPr>
        <w:t>_______</w:t>
      </w:r>
      <w:r>
        <w:rPr>
          <w:rFonts w:hint="eastAsia" w:ascii="仿宋_GB2312" w:hAnsi="Calibri" w:eastAsia="仿宋_GB2312" w:cs="宋体"/>
          <w:color w:val="auto"/>
          <w:kern w:val="0"/>
          <w:sz w:val="28"/>
          <w:szCs w:val="28"/>
          <w:shd w:val="clear" w:color="auto" w:fill="FFFFFF"/>
        </w:rPr>
        <w:t>代表我公司全权办理与贵公司的</w:t>
      </w:r>
      <w:r>
        <w:rPr>
          <w:rFonts w:hint="eastAsia" w:ascii="仿宋_GB2312" w:hAnsi="Calibri" w:eastAsia="仿宋_GB2312" w:cs="宋体"/>
          <w:color w:val="auto"/>
          <w:kern w:val="0"/>
          <w:sz w:val="28"/>
          <w:szCs w:val="28"/>
          <w:u w:val="single"/>
          <w:shd w:val="clear" w:color="auto" w:fill="FFFFFF"/>
        </w:rPr>
        <w:t>（</w:t>
      </w:r>
      <w:r>
        <w:rPr>
          <w:rFonts w:hint="eastAsia" w:ascii="仿宋_GB2312" w:hAnsi="Calibri" w:eastAsia="仿宋_GB2312" w:cs="宋体"/>
          <w:b/>
          <w:color w:val="auto"/>
          <w:kern w:val="0"/>
          <w:sz w:val="28"/>
          <w:szCs w:val="28"/>
          <w:u w:val="single"/>
          <w:shd w:val="clear" w:color="auto" w:fill="FFFFFF"/>
        </w:rPr>
        <w:t>项目名称</w:t>
      </w:r>
      <w:r>
        <w:rPr>
          <w:rFonts w:hint="eastAsia" w:ascii="仿宋_GB2312" w:hAnsi="Calibri" w:eastAsia="仿宋_GB2312" w:cs="宋体"/>
          <w:color w:val="auto"/>
          <w:kern w:val="0"/>
          <w:sz w:val="28"/>
          <w:szCs w:val="28"/>
          <w:u w:val="single"/>
          <w:shd w:val="clear" w:color="auto" w:fill="FFFFFF"/>
        </w:rPr>
        <w:t>）</w:t>
      </w:r>
      <w:r>
        <w:rPr>
          <w:rFonts w:hint="eastAsia" w:ascii="仿宋_GB2312" w:hAnsi="Calibri" w:eastAsia="仿宋_GB2312" w:cs="宋体"/>
          <w:color w:val="auto"/>
          <w:kern w:val="0"/>
          <w:sz w:val="28"/>
          <w:szCs w:val="28"/>
          <w:shd w:val="clear" w:color="auto" w:fill="FFFFFF"/>
        </w:rPr>
        <w:t>业务，包括但不限于</w:t>
      </w:r>
      <w:r>
        <w:rPr>
          <w:rFonts w:hint="eastAsia" w:ascii="仿宋_GB2312" w:hAnsi="Calibri" w:eastAsia="仿宋_GB2312" w:cs="宋体"/>
          <w:color w:val="auto"/>
          <w:kern w:val="0"/>
          <w:sz w:val="28"/>
          <w:szCs w:val="28"/>
          <w:u w:val="single"/>
          <w:shd w:val="clear" w:color="auto" w:fill="FFFFFF"/>
        </w:rPr>
        <w:t>投标、签订合同、领取合同款、收货、退换货、质量异议处理</w:t>
      </w:r>
      <w:r>
        <w:rPr>
          <w:rFonts w:hint="eastAsia" w:ascii="仿宋_GB2312" w:hAnsi="Calibri" w:eastAsia="仿宋_GB2312" w:cs="宋体"/>
          <w:color w:val="auto"/>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auto"/>
          <w:kern w:val="0"/>
          <w:sz w:val="28"/>
          <w:szCs w:val="28"/>
          <w:u w:val="single"/>
          <w:shd w:val="clear" w:color="auto" w:fill="FFFFFF"/>
        </w:rPr>
        <w:t>（邮箱号：必填）</w:t>
      </w:r>
      <w:r>
        <w:rPr>
          <w:rFonts w:hint="eastAsia" w:ascii="仿宋_GB2312" w:hAnsi="Calibri" w:eastAsia="仿宋_GB2312" w:cs="宋体"/>
          <w:color w:val="auto"/>
          <w:kern w:val="0"/>
          <w:sz w:val="28"/>
          <w:szCs w:val="28"/>
          <w:shd w:val="clear" w:color="auto" w:fill="FFFFFF"/>
        </w:rPr>
        <w:t>接收、发送。</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auto"/>
          <w:kern w:val="0"/>
          <w:sz w:val="28"/>
          <w:szCs w:val="28"/>
          <w:shd w:val="clear" w:color="auto" w:fill="FFFFFF"/>
        </w:rPr>
        <w:t>________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日至</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w:t>
      </w:r>
      <w:r>
        <w:rPr>
          <w:rFonts w:hint="eastAsia" w:ascii="仿宋_GB2312" w:hAnsi="Calibri" w:eastAsia="仿宋_GB2312" w:cs="宋体"/>
          <w:b/>
          <w:color w:val="auto"/>
          <w:kern w:val="0"/>
          <w:sz w:val="28"/>
          <w:szCs w:val="28"/>
          <w:shd w:val="clear" w:color="auto" w:fill="FFFFFF"/>
        </w:rPr>
        <w:t>日</w:t>
      </w:r>
      <w:r>
        <w:rPr>
          <w:rFonts w:hint="eastAsia" w:ascii="仿宋_GB2312" w:hAnsi="Calibri" w:eastAsia="仿宋_GB2312" w:cs="宋体"/>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rPr>
        <w:t>必填</w:t>
      </w:r>
      <w:r>
        <w:rPr>
          <w:rFonts w:hint="eastAsia" w:ascii="仿宋_GB2312" w:hAnsi="Calibri" w:eastAsia="仿宋_GB2312" w:cs="宋体"/>
          <w:color w:val="auto"/>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在撤销授权的书面通知之前，本授权书一直有效，被授权人签署的所有文件（在授权书有效期内签署的）不因授权的撤销而失效。</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被授权人签字：</w:t>
      </w:r>
      <w:r>
        <w:rPr>
          <w:rFonts w:ascii="仿宋_GB2312" w:hAnsi="Calibri" w:eastAsia="仿宋_GB2312" w:cs="宋体"/>
          <w:color w:val="auto"/>
          <w:kern w:val="0"/>
          <w:sz w:val="28"/>
          <w:szCs w:val="28"/>
          <w:shd w:val="clear" w:color="auto" w:fill="FFFFFF"/>
        </w:rPr>
        <w:t>_________</w:t>
      </w:r>
      <w:r>
        <w:rPr>
          <w:rFonts w:hint="eastAsia" w:ascii="仿宋_GB2312" w:hAnsi="Calibri" w:eastAsia="仿宋_GB2312" w:cs="宋体"/>
          <w:color w:val="auto"/>
          <w:kern w:val="0"/>
          <w:sz w:val="28"/>
          <w:szCs w:val="28"/>
          <w:shd w:val="clear" w:color="auto" w:fill="FFFFFF"/>
        </w:rPr>
        <w:t xml:space="preserve">      授权人</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签章或签字</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color w:val="auto"/>
          <w:kern w:val="0"/>
          <w:sz w:val="28"/>
          <w:szCs w:val="28"/>
          <w:shd w:val="clear" w:color="auto" w:fill="FFFFFF"/>
        </w:rPr>
      </w:pP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职　　务：</w:t>
      </w:r>
      <w:r>
        <w:rPr>
          <w:rFonts w:ascii="仿宋_GB2312" w:hAnsi="Calibri" w:eastAsia="仿宋_GB2312" w:cs="宋体"/>
          <w:color w:val="auto"/>
          <w:kern w:val="0"/>
          <w:sz w:val="28"/>
          <w:szCs w:val="28"/>
          <w:shd w:val="clear" w:color="auto" w:fill="FFFFFF"/>
        </w:rPr>
        <w:t xml:space="preserve">_____________    </w:t>
      </w:r>
      <w:r>
        <w:rPr>
          <w:rFonts w:hint="eastAsia" w:ascii="仿宋_GB2312" w:hAnsi="Calibri" w:eastAsia="仿宋_GB2312" w:cs="宋体"/>
          <w:color w:val="auto"/>
          <w:kern w:val="0"/>
          <w:sz w:val="28"/>
          <w:szCs w:val="28"/>
          <w:shd w:val="clear" w:color="auto" w:fill="FFFFFF"/>
        </w:rPr>
        <w:t xml:space="preserve">  职　　务：</w:t>
      </w:r>
      <w:r>
        <w:rPr>
          <w:rFonts w:ascii="仿宋_GB2312" w:hAnsi="Calibri" w:eastAsia="仿宋_GB2312" w:cs="宋体"/>
          <w:b/>
          <w:color w:val="auto"/>
          <w:kern w:val="0"/>
          <w:sz w:val="28"/>
          <w:szCs w:val="28"/>
          <w:shd w:val="clear" w:color="auto" w:fill="FFFFFF"/>
        </w:rPr>
        <w:t>_</w:t>
      </w:r>
      <w:r>
        <w:rPr>
          <w:rFonts w:hint="eastAsia" w:ascii="仿宋_GB2312" w:hAnsi="Calibri" w:eastAsia="仿宋_GB2312" w:cs="宋体"/>
          <w:b/>
          <w:color w:val="auto"/>
          <w:kern w:val="0"/>
          <w:sz w:val="28"/>
          <w:szCs w:val="28"/>
          <w:shd w:val="clear" w:color="auto" w:fill="FFFFFF"/>
        </w:rPr>
        <w:t>（不能填法人）</w:t>
      </w:r>
      <w:r>
        <w:rPr>
          <w:rFonts w:ascii="仿宋_GB2312" w:hAnsi="Calibri" w:eastAsia="仿宋_GB2312" w:cs="宋体"/>
          <w:b/>
          <w:color w:val="auto"/>
          <w:kern w:val="0"/>
          <w:sz w:val="28"/>
          <w:szCs w:val="28"/>
          <w:shd w:val="clear" w:color="auto" w:fill="FFFFFF"/>
        </w:rPr>
        <w:t>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电　　话：</w:t>
      </w:r>
      <w:r>
        <w:rPr>
          <w:rFonts w:ascii="仿宋_GB2312" w:hAnsi="Calibri" w:eastAsia="仿宋_GB2312" w:cs="宋体"/>
          <w:color w:val="auto"/>
          <w:kern w:val="0"/>
          <w:sz w:val="28"/>
          <w:szCs w:val="28"/>
          <w:shd w:val="clear" w:color="auto" w:fill="FFFFFF"/>
        </w:rPr>
        <w:t>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 xml:space="preserve">    电　　话：</w:t>
      </w:r>
      <w:r>
        <w:rPr>
          <w:rFonts w:ascii="仿宋_GB2312" w:hAnsi="Calibri" w:eastAsia="仿宋_GB2312" w:cs="宋体"/>
          <w:color w:val="auto"/>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ascii="Calibri" w:hAnsi="Calibri" w:cs="宋体"/>
          <w:color w:val="auto"/>
          <w:kern w:val="0"/>
          <w:szCs w:val="21"/>
        </w:rPr>
      </w:pPr>
      <w:r>
        <w:rPr>
          <w:rFonts w:ascii="微软雅黑" w:hAnsi="微软雅黑" w:cs="宋体"/>
          <w:color w:val="auto"/>
          <w:kern w:val="0"/>
          <w:sz w:val="28"/>
          <w:szCs w:val="28"/>
          <w:shd w:val="clear" w:color="auto" w:fill="FFFFFF"/>
        </w:rPr>
        <w:t> </w:t>
      </w:r>
    </w:p>
    <w:p>
      <w:pPr>
        <w:keepNext w:val="0"/>
        <w:keepLines w:val="0"/>
        <w:pageBreakBefore w:val="0"/>
        <w:widowControl/>
        <w:kinsoku/>
        <w:wordWrap/>
        <w:overflowPunct/>
        <w:topLinePunct w:val="0"/>
        <w:autoSpaceDE/>
        <w:autoSpaceDN/>
        <w:bidi w:val="0"/>
        <w:adjustRightInd/>
        <w:snapToGrid w:val="0"/>
        <w:spacing w:line="0" w:lineRule="atLeast"/>
        <w:ind w:firstLine="2800" w:firstLineChars="1000"/>
        <w:textAlignment w:val="auto"/>
        <w:rPr>
          <w:rFonts w:ascii="微软雅黑" w:hAnsi="微软雅黑" w:cs="宋体"/>
          <w:b/>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单位名称：</w:t>
      </w:r>
      <w:r>
        <w:rPr>
          <w:rFonts w:ascii="微软雅黑" w:hAnsi="微软雅黑" w:cs="宋体"/>
          <w:b/>
          <w:color w:val="auto"/>
          <w:kern w:val="0"/>
          <w:sz w:val="28"/>
          <w:szCs w:val="28"/>
          <w:shd w:val="clear" w:color="auto" w:fill="FFFFFF"/>
        </w:rPr>
        <w:t xml:space="preserve"> </w:t>
      </w:r>
    </w:p>
    <w:p>
      <w:pPr>
        <w:keepNext w:val="0"/>
        <w:keepLines w:val="0"/>
        <w:pageBreakBefore w:val="0"/>
        <w:widowControl/>
        <w:kinsoku/>
        <w:wordWrap/>
        <w:overflowPunct/>
        <w:topLinePunct w:val="0"/>
        <w:autoSpaceDE/>
        <w:autoSpaceDN/>
        <w:bidi w:val="0"/>
        <w:adjustRightInd/>
        <w:snapToGrid w:val="0"/>
        <w:spacing w:line="0" w:lineRule="atLeast"/>
        <w:ind w:firstLine="2811" w:firstLineChars="1000"/>
        <w:textAlignment w:val="auto"/>
        <w:rPr>
          <w:rFonts w:ascii="Calibri" w:hAnsi="Calibri" w:cs="宋体"/>
          <w:b/>
          <w:color w:val="auto"/>
          <w:kern w:val="0"/>
          <w:szCs w:val="21"/>
        </w:rPr>
      </w:pPr>
      <w:r>
        <w:rPr>
          <w:rFonts w:ascii="微软雅黑" w:hAnsi="微软雅黑" w:cs="宋体"/>
          <w:b/>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rPr>
        <w:t>公司公章、财务专用章、法人章</w:t>
      </w:r>
      <w:r>
        <w:rPr>
          <w:rFonts w:ascii="微软雅黑" w:hAnsi="微软雅黑" w:cs="宋体"/>
          <w:b/>
          <w:color w:val="auto"/>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签署时间：（</w:t>
      </w:r>
      <w:r>
        <w:rPr>
          <w:rFonts w:hint="eastAsia" w:ascii="仿宋_GB2312" w:hAnsi="Calibri" w:eastAsia="仿宋_GB2312" w:cs="宋体"/>
          <w:b/>
          <w:color w:val="auto"/>
          <w:kern w:val="0"/>
          <w:sz w:val="28"/>
          <w:szCs w:val="28"/>
          <w:shd w:val="clear" w:color="auto" w:fill="FFFFFF"/>
        </w:rPr>
        <w:t>必填</w:t>
      </w:r>
      <w:r>
        <w:rPr>
          <w:rFonts w:hint="eastAsia" w:ascii="仿宋_GB2312" w:hAnsi="Calibri" w:eastAsia="仿宋_GB2312" w:cs="宋体"/>
          <w:color w:val="auto"/>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hint="eastAsia" w:ascii="Calibri" w:hAnsi="Calibri" w:cs="宋体"/>
          <w:color w:val="auto"/>
          <w:kern w:val="0"/>
          <w:szCs w:val="21"/>
        </w:rPr>
      </w:pP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ascii="仿宋" w:hAnsi="仿宋" w:eastAsia="仿宋" w:cs="仿宋"/>
          <w:color w:val="auto"/>
          <w:kern w:val="0"/>
          <w:szCs w:val="32"/>
        </w:rPr>
      </w:pPr>
      <w:r>
        <w:rPr>
          <w:rFonts w:hint="eastAsia" w:ascii="仿宋_GB2312" w:hAnsi="Calibri" w:eastAsia="仿宋_GB2312" w:cs="宋体"/>
          <w:color w:val="auto"/>
          <w:kern w:val="0"/>
          <w:sz w:val="28"/>
          <w:szCs w:val="28"/>
          <w:shd w:val="clear" w:color="auto" w:fill="FFFFFF"/>
        </w:rPr>
        <w:t>授权人身份证（正、反面）：</w:t>
      </w:r>
      <w:r>
        <w:rPr>
          <w:rFonts w:ascii="微软雅黑" w:hAnsi="微软雅黑"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被授权人身份证（正、反面）：</w:t>
      </w:r>
      <w:r>
        <w:rPr>
          <w:rFonts w:ascii="微软雅黑" w:hAnsi="微软雅黑" w:cs="宋体"/>
          <w:color w:val="auto"/>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jc w:val="left"/>
        <w:textAlignment w:val="auto"/>
        <w:rPr>
          <w:rFonts w:hint="eastAsia" w:ascii="仿宋" w:hAnsi="仿宋" w:eastAsia="仿宋" w:cs="仿宋"/>
          <w:color w:val="auto"/>
          <w:kern w:val="0"/>
          <w:szCs w:val="32"/>
        </w:rPr>
      </w:pP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color w:val="auto"/>
          <w:szCs w:val="32"/>
        </w:rPr>
      </w:pPr>
      <w:r>
        <w:rPr>
          <w:rFonts w:hint="eastAsia" w:ascii="仿宋" w:hAnsi="仿宋" w:eastAsia="仿宋" w:cs="仿宋"/>
          <w:color w:val="auto"/>
          <w:kern w:val="0"/>
          <w:szCs w:val="32"/>
        </w:rPr>
        <w:t>附件二：</w:t>
      </w:r>
    </w:p>
    <w:p>
      <w:pPr>
        <w:keepNext w:val="0"/>
        <w:keepLines w:val="0"/>
        <w:pageBreakBefore w:val="0"/>
        <w:widowControl/>
        <w:kinsoku/>
        <w:wordWrap/>
        <w:overflowPunct/>
        <w:topLinePunct w:val="0"/>
        <w:autoSpaceDN/>
        <w:bidi w:val="0"/>
        <w:adjustRightInd/>
        <w:snapToGrid/>
        <w:spacing w:line="0" w:lineRule="atLeast"/>
        <w:jc w:val="center"/>
        <w:textAlignment w:val="auto"/>
        <w:rPr>
          <w:rFonts w:hint="eastAsia" w:ascii="小标宋" w:eastAsia="小标宋"/>
          <w:b/>
          <w:bCs/>
          <w:color w:val="000000"/>
          <w:kern w:val="0"/>
          <w:sz w:val="44"/>
          <w:szCs w:val="44"/>
        </w:rPr>
      </w:pPr>
      <w:r>
        <w:rPr>
          <w:rFonts w:hint="eastAsia" w:ascii="小标宋" w:eastAsia="小标宋"/>
          <w:b/>
          <w:bCs/>
          <w:color w:val="000000"/>
          <w:kern w:val="0"/>
          <w:sz w:val="44"/>
          <w:szCs w:val="44"/>
        </w:rPr>
        <w:t>诚信承诺书</w:t>
      </w:r>
    </w:p>
    <w:p>
      <w:pPr>
        <w:keepNext w:val="0"/>
        <w:keepLines w:val="0"/>
        <w:pageBreakBefore w:val="0"/>
        <w:widowControl/>
        <w:kinsoku/>
        <w:wordWrap/>
        <w:overflowPunct/>
        <w:topLinePunct w:val="0"/>
        <w:autoSpaceDN/>
        <w:bidi w:val="0"/>
        <w:adjustRightInd/>
        <w:snapToGrid/>
        <w:spacing w:line="0" w:lineRule="atLeast"/>
        <w:jc w:val="left"/>
        <w:textAlignment w:val="auto"/>
        <w:rPr>
          <w:rFonts w:hint="eastAsia"/>
        </w:rPr>
      </w:pPr>
      <w:r>
        <w:rPr>
          <w:rFonts w:hint="eastAsia" w:ascii="仿宋" w:hAnsi="仿宋" w:eastAsia="仿宋"/>
          <w:color w:val="000000"/>
          <w:kern w:val="0"/>
          <w:sz w:val="31"/>
          <w:szCs w:val="31"/>
        </w:rPr>
        <w:t>九江萍钢钢铁有限公司：</w:t>
      </w:r>
    </w:p>
    <w:p>
      <w:pPr>
        <w:keepNext w:val="0"/>
        <w:keepLines w:val="0"/>
        <w:pageBreakBefore w:val="0"/>
        <w:widowControl/>
        <w:kinsoku/>
        <w:wordWrap/>
        <w:overflowPunct/>
        <w:topLinePunct w:val="0"/>
        <w:autoSpaceDN/>
        <w:bidi w:val="0"/>
        <w:adjustRightInd/>
        <w:snapToGrid/>
        <w:spacing w:line="0" w:lineRule="atLeast"/>
        <w:ind w:firstLine="620" w:firstLineChars="200"/>
        <w:jc w:val="left"/>
        <w:textAlignment w:val="auto"/>
      </w:pPr>
      <w:r>
        <w:rPr>
          <w:rFonts w:hint="eastAsia" w:ascii="仿宋" w:hAnsi="仿宋" w:eastAsia="仿宋"/>
          <w:color w:val="000000"/>
          <w:kern w:val="0"/>
          <w:sz w:val="31"/>
          <w:szCs w:val="31"/>
        </w:rPr>
        <w:t>我方在遵守《民法典》《反不正当竞争法》《关于禁止商</w:t>
      </w:r>
    </w:p>
    <w:p>
      <w:pPr>
        <w:keepNext w:val="0"/>
        <w:keepLines w:val="0"/>
        <w:pageBreakBefore w:val="0"/>
        <w:widowControl/>
        <w:kinsoku/>
        <w:wordWrap/>
        <w:overflowPunct/>
        <w:topLinePunct w:val="0"/>
        <w:autoSpaceDN/>
        <w:bidi w:val="0"/>
        <w:adjustRightInd/>
        <w:snapToGrid/>
        <w:spacing w:line="0" w:lineRule="atLeast"/>
        <w:textAlignment w:val="auto"/>
      </w:pPr>
      <w:r>
        <w:rPr>
          <w:rFonts w:hint="eastAsia" w:ascii="仿宋" w:hAnsi="仿宋" w:eastAsia="仿宋"/>
          <w:color w:val="000000"/>
          <w:kern w:val="0"/>
          <w:sz w:val="31"/>
          <w:szCs w:val="31"/>
        </w:rPr>
        <w:t>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0" w:lineRule="atLeast"/>
        <w:ind w:firstLine="620" w:firstLineChars="200"/>
        <w:textAlignment w:val="auto"/>
        <w:rPr>
          <w:rFonts w:ascii="仿宋" w:hAnsi="仿宋" w:eastAsia="仿宋"/>
          <w:color w:val="000000"/>
          <w:kern w:val="0"/>
          <w:sz w:val="31"/>
          <w:szCs w:val="31"/>
        </w:rPr>
      </w:pPr>
      <w:r>
        <w:rPr>
          <w:rFonts w:hint="eastAsia" w:ascii="仿宋" w:hAnsi="仿宋" w:eastAsia="仿宋"/>
          <w:color w:val="000000"/>
          <w:kern w:val="0"/>
          <w:sz w:val="31"/>
          <w:szCs w:val="31"/>
        </w:rPr>
        <w:t>二、不以任何形式向贵方工作人员及其</w:t>
      </w:r>
      <w:r>
        <w:rPr>
          <w:rFonts w:hint="eastAsia" w:ascii="仿宋" w:hAnsi="仿宋" w:eastAsia="仿宋"/>
          <w:sz w:val="32"/>
          <w:szCs w:val="32"/>
        </w:rPr>
        <w:t>父母、配偶、子女等亲属</w:t>
      </w:r>
      <w:r>
        <w:rPr>
          <w:rFonts w:hint="eastAsia" w:ascii="仿宋" w:hAnsi="仿宋" w:eastAsia="仿宋"/>
          <w:color w:val="000000"/>
          <w:kern w:val="0"/>
          <w:sz w:val="31"/>
          <w:szCs w:val="31"/>
        </w:rPr>
        <w:t>赠送或变相赠送礼品、礼金等。</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rPr>
          <w:rFonts w:hint="eastAsia"/>
        </w:rPr>
      </w:pPr>
      <w:r>
        <w:rPr>
          <w:rFonts w:hint="eastAsia" w:ascii="仿宋" w:hAnsi="仿宋" w:eastAsia="仿宋"/>
          <w:color w:val="000000"/>
          <w:kern w:val="0"/>
          <w:sz w:val="31"/>
          <w:szCs w:val="31"/>
        </w:rPr>
        <w:t>三、不以任何方式宴请贵方工作人员（正常公务招待除</w:t>
      </w:r>
    </w:p>
    <w:p>
      <w:pPr>
        <w:keepNext w:val="0"/>
        <w:keepLines w:val="0"/>
        <w:pageBreakBefore w:val="0"/>
        <w:widowControl/>
        <w:kinsoku/>
        <w:wordWrap/>
        <w:overflowPunct/>
        <w:topLinePunct w:val="0"/>
        <w:autoSpaceDN/>
        <w:bidi w:val="0"/>
        <w:adjustRightInd/>
        <w:snapToGrid/>
        <w:spacing w:line="0" w:lineRule="atLeast"/>
        <w:textAlignment w:val="auto"/>
        <w:rPr>
          <w:rFonts w:ascii="仿宋" w:hAnsi="仿宋" w:eastAsia="仿宋"/>
          <w:color w:val="000000"/>
          <w:kern w:val="0"/>
          <w:sz w:val="31"/>
          <w:szCs w:val="31"/>
        </w:rPr>
      </w:pPr>
      <w:r>
        <w:rPr>
          <w:rFonts w:hint="eastAsia" w:ascii="仿宋" w:hAnsi="仿宋" w:eastAsia="仿宋"/>
          <w:color w:val="000000"/>
          <w:kern w:val="0"/>
          <w:sz w:val="31"/>
          <w:szCs w:val="31"/>
        </w:rPr>
        <w:t>外）。</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rPr>
          <w:rFonts w:hint="eastAsia" w:ascii="仿宋" w:hAnsi="仿宋" w:eastAsia="仿宋"/>
          <w:color w:val="000000"/>
          <w:kern w:val="0"/>
          <w:sz w:val="31"/>
          <w:szCs w:val="31"/>
        </w:rPr>
      </w:pPr>
      <w:r>
        <w:rPr>
          <w:rFonts w:hint="eastAsia" w:ascii="仿宋" w:hAnsi="仿宋" w:eastAsia="仿宋"/>
          <w:color w:val="000000"/>
          <w:kern w:val="0"/>
          <w:sz w:val="31"/>
          <w:szCs w:val="31"/>
        </w:rPr>
        <w:t>四、不与贵方有关人员私下建立不正当交易关系。</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rPr>
          <w:rFonts w:hint="eastAsia"/>
        </w:rPr>
      </w:pPr>
      <w:r>
        <w:rPr>
          <w:rFonts w:hint="eastAsia" w:ascii="仿宋" w:hAnsi="仿宋" w:eastAsia="仿宋"/>
          <w:color w:val="000000"/>
          <w:kern w:val="0"/>
          <w:sz w:val="31"/>
          <w:szCs w:val="31"/>
        </w:rPr>
        <w:t>五、发现贵方工作人员有索贿以及徇私舞弊、滥用职权等行为时积极向贵方举报或投诉，并实事求是地配合贵方纪检监察机构调查、提供书面举报材料。</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六、不发生扰乱正常市场竞争秩序、提供虚假材料、泄露贵方商业秘密以及排挤其他经营者公平竞争等违反商业道德行为。</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七、不发生其它任何可能影响贵方工作人员公正执行公</w:t>
      </w:r>
    </w:p>
    <w:p>
      <w:pPr>
        <w:keepNext w:val="0"/>
        <w:keepLines w:val="0"/>
        <w:pageBreakBefore w:val="0"/>
        <w:widowControl/>
        <w:kinsoku/>
        <w:wordWrap/>
        <w:overflowPunct/>
        <w:topLinePunct w:val="0"/>
        <w:autoSpaceDN/>
        <w:bidi w:val="0"/>
        <w:adjustRightInd/>
        <w:snapToGrid/>
        <w:spacing w:line="0" w:lineRule="atLeast"/>
        <w:textAlignment w:val="auto"/>
        <w:rPr>
          <w:rFonts w:ascii="仿宋" w:hAnsi="仿宋" w:eastAsia="仿宋"/>
          <w:color w:val="000000"/>
          <w:kern w:val="0"/>
          <w:sz w:val="31"/>
          <w:szCs w:val="31"/>
        </w:rPr>
      </w:pPr>
      <w:r>
        <w:rPr>
          <w:rFonts w:hint="eastAsia" w:ascii="仿宋" w:hAnsi="仿宋" w:eastAsia="仿宋"/>
          <w:color w:val="000000"/>
          <w:kern w:val="0"/>
          <w:sz w:val="31"/>
          <w:szCs w:val="31"/>
        </w:rPr>
        <w:t>务或职务廉洁行为。</w:t>
      </w:r>
    </w:p>
    <w:p>
      <w:pPr>
        <w:keepNext w:val="0"/>
        <w:keepLines w:val="0"/>
        <w:pageBreakBefore w:val="0"/>
        <w:widowControl/>
        <w:kinsoku/>
        <w:wordWrap/>
        <w:overflowPunct/>
        <w:topLinePunct w:val="0"/>
        <w:autoSpaceDN/>
        <w:bidi w:val="0"/>
        <w:adjustRightInd/>
        <w:snapToGrid/>
        <w:spacing w:line="0" w:lineRule="atLeast"/>
        <w:ind w:firstLine="640" w:firstLineChars="200"/>
        <w:textAlignment w:val="auto"/>
        <w:rPr>
          <w:rFonts w:hint="eastAsia"/>
        </w:rPr>
      </w:pPr>
      <w:r>
        <w:rPr>
          <w:rFonts w:hint="eastAsia" w:ascii="仿宋" w:hAnsi="仿宋" w:eastAsia="仿宋"/>
          <w:sz w:val="32"/>
          <w:szCs w:val="32"/>
        </w:rPr>
        <w:t>八、本承诺书所指的礼品、礼金等，包括礼品、礼金、有价证券、支付凭证、商业预付卡、土特产（例如烟、酒等），以及由我方安排并支付费用的旅游、健身、休闲、娱乐等活动。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九、不发生下列行为：</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rPr>
          <w:rFonts w:ascii="仿宋" w:hAnsi="仿宋" w:eastAsia="仿宋"/>
          <w:color w:val="000000"/>
          <w:kern w:val="0"/>
          <w:sz w:val="31"/>
          <w:szCs w:val="31"/>
        </w:rPr>
      </w:pPr>
      <w:r>
        <w:rPr>
          <w:rFonts w:hint="eastAsia" w:ascii="仿宋" w:hAnsi="仿宋" w:eastAsia="仿宋"/>
          <w:color w:val="000000"/>
          <w:kern w:val="0"/>
          <w:sz w:val="31"/>
          <w:szCs w:val="31"/>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0" w:lineRule="atLeast"/>
        <w:ind w:firstLine="620" w:firstLineChars="200"/>
        <w:textAlignment w:val="auto"/>
        <w:rPr>
          <w:rFonts w:hint="eastAsia"/>
        </w:rPr>
      </w:pPr>
      <w:r>
        <w:rPr>
          <w:rFonts w:hint="eastAsia" w:ascii="仿宋" w:hAnsi="仿宋" w:eastAsia="仿宋"/>
          <w:color w:val="000000"/>
          <w:kern w:val="0"/>
          <w:sz w:val="31"/>
          <w:szCs w:val="31"/>
        </w:rPr>
        <w:t>（二）伪造或者使用虚假产地；</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（三）伪造或者冒用他人的厂名、厂址；</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（四）假冒他人注册商标；</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（六）提供失效、变质产品；</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0" w:lineRule="atLeast"/>
        <w:ind w:firstLine="622" w:firstLineChars="200"/>
        <w:textAlignment w:val="auto"/>
      </w:pPr>
      <w:r>
        <w:rPr>
          <w:rFonts w:hint="eastAsia" w:ascii="仿宋" w:hAnsi="仿宋" w:eastAsia="仿宋"/>
          <w:b/>
          <w:bCs/>
          <w:color w:val="000000"/>
          <w:kern w:val="0"/>
          <w:sz w:val="31"/>
          <w:szCs w:val="31"/>
        </w:rPr>
        <w:t>若违反上述承诺，我方愿意按以下方式承担责任：</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二、我方自愿按照以下方式承担违约金，且贵方有权从我方在贵方的货款中扣除上述违约金：</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（一）我方若违反第1条至第7条承诺中的任一条，我方自愿承担3万元至30万元的违约金。</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（二）我方若向贵方行贿或违反第9条的，贵方有权对涉案标的物按1元/吨（件）结算付款，且我方自愿按涉案标的物合同额的10%至30%承担违约金。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0" w:lineRule="atLeast"/>
        <w:ind w:firstLine="622" w:firstLineChars="200"/>
        <w:textAlignment w:val="auto"/>
      </w:pPr>
      <w:r>
        <w:rPr>
          <w:rFonts w:hint="eastAsia" w:ascii="仿宋" w:hAnsi="仿宋" w:eastAsia="仿宋"/>
          <w:b/>
          <w:bCs/>
          <w:color w:val="000000"/>
          <w:kern w:val="0"/>
          <w:sz w:val="31"/>
          <w:szCs w:val="31"/>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0" w:lineRule="atLeast"/>
        <w:ind w:firstLine="620" w:firstLineChars="200"/>
        <w:textAlignment w:val="auto"/>
        <w:rPr>
          <w:rFonts w:hint="eastAsia"/>
        </w:rPr>
      </w:pPr>
      <w:r>
        <w:rPr>
          <w:rFonts w:hint="eastAsia" w:ascii="仿宋" w:hAnsi="仿宋" w:eastAsia="仿宋"/>
          <w:color w:val="000000"/>
          <w:kern w:val="0"/>
          <w:sz w:val="31"/>
          <w:szCs w:val="31"/>
        </w:rPr>
        <w:t>本承诺书自我方签署之日起生效，在贵我双方业务往来存续期间有效。</w:t>
      </w:r>
    </w:p>
    <w:p>
      <w:pPr>
        <w:keepNext w:val="0"/>
        <w:keepLines w:val="0"/>
        <w:pageBreakBefore w:val="0"/>
        <w:widowControl/>
        <w:kinsoku/>
        <w:wordWrap/>
        <w:overflowPunct/>
        <w:topLinePunct w:val="0"/>
        <w:autoSpaceDN/>
        <w:bidi w:val="0"/>
        <w:adjustRightInd/>
        <w:snapToGrid/>
        <w:spacing w:line="0" w:lineRule="atLeast"/>
        <w:ind w:firstLine="2790" w:firstLineChars="900"/>
        <w:jc w:val="left"/>
        <w:textAlignment w:val="auto"/>
      </w:pPr>
      <w:r>
        <w:rPr>
          <w:rFonts w:hint="eastAsia" w:ascii="仿宋" w:hAnsi="仿宋" w:eastAsia="仿宋"/>
          <w:color w:val="000000"/>
          <w:kern w:val="0"/>
          <w:sz w:val="31"/>
          <w:szCs w:val="31"/>
        </w:rPr>
        <w:t>承诺人（单位公章）：</w:t>
      </w:r>
    </w:p>
    <w:p>
      <w:pPr>
        <w:keepNext w:val="0"/>
        <w:keepLines w:val="0"/>
        <w:pageBreakBefore w:val="0"/>
        <w:widowControl/>
        <w:kinsoku/>
        <w:wordWrap/>
        <w:overflowPunct/>
        <w:topLinePunct w:val="0"/>
        <w:autoSpaceDN/>
        <w:bidi w:val="0"/>
        <w:adjustRightInd/>
        <w:snapToGrid/>
        <w:spacing w:line="0" w:lineRule="atLeast"/>
        <w:ind w:firstLine="2790" w:firstLineChars="900"/>
        <w:jc w:val="left"/>
        <w:textAlignment w:val="auto"/>
      </w:pPr>
      <w:r>
        <w:rPr>
          <w:rFonts w:hint="eastAsia" w:ascii="仿宋" w:hAnsi="仿宋" w:eastAsia="仿宋"/>
          <w:color w:val="000000"/>
          <w:kern w:val="0"/>
          <w:sz w:val="31"/>
          <w:szCs w:val="31"/>
        </w:rPr>
        <w:t>签署人（法定代表人或授权代表）：</w:t>
      </w:r>
    </w:p>
    <w:p>
      <w:pPr>
        <w:keepNext w:val="0"/>
        <w:keepLines w:val="0"/>
        <w:pageBreakBefore w:val="0"/>
        <w:widowControl w:val="0"/>
        <w:kinsoku/>
        <w:wordWrap/>
        <w:overflowPunct/>
        <w:topLinePunct w:val="0"/>
        <w:autoSpaceDE/>
        <w:autoSpaceDN/>
        <w:bidi w:val="0"/>
        <w:adjustRightInd/>
        <w:snapToGrid/>
        <w:spacing w:line="0" w:lineRule="atLeast"/>
        <w:ind w:firstLine="2790" w:firstLineChars="900"/>
        <w:textAlignment w:val="auto"/>
        <w:rPr>
          <w:rFonts w:hint="default" w:ascii="仿宋" w:hAnsi="仿宋" w:eastAsia="仿宋" w:cs="Arial"/>
          <w:color w:val="auto"/>
          <w:szCs w:val="32"/>
          <w:lang w:val="en-US" w:eastAsia="zh-CN"/>
        </w:rPr>
      </w:pPr>
      <w:r>
        <w:rPr>
          <w:rFonts w:hint="eastAsia" w:ascii="仿宋" w:hAnsi="仿宋" w:eastAsia="仿宋"/>
          <w:color w:val="000000"/>
          <w:kern w:val="0"/>
          <w:sz w:val="31"/>
          <w:szCs w:val="31"/>
        </w:rPr>
        <w:t>签署日期：     年    月   日</w:t>
      </w:r>
    </w:p>
    <w:p>
      <w:pPr>
        <w:spacing w:line="380" w:lineRule="exact"/>
        <w:ind w:firstLine="560" w:firstLineChars="200"/>
        <w:rPr>
          <w:rFonts w:hint="default" w:ascii="仿宋" w:hAnsi="仿宋" w:eastAsia="仿宋" w:cs="仿宋"/>
          <w:kern w:val="0"/>
          <w:sz w:val="28"/>
          <w:szCs w:val="28"/>
          <w:lang w:val="en-US" w:eastAsia="zh-CN"/>
        </w:rPr>
      </w:pPr>
    </w:p>
    <w:sectPr>
      <w:footerReference r:id="rId3" w:type="default"/>
      <w:pgSz w:w="11906" w:h="16838"/>
      <w:pgMar w:top="567" w:right="850" w:bottom="567" w:left="850" w:header="567"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w:t>
                    </w:r>
                    <w:r>
                      <w:rPr>
                        <w:rFonts w:hint="eastAsia"/>
                      </w:rP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6B"/>
    <w:rsid w:val="000B14D1"/>
    <w:rsid w:val="000B2C3E"/>
    <w:rsid w:val="00147432"/>
    <w:rsid w:val="00180049"/>
    <w:rsid w:val="001D0BCE"/>
    <w:rsid w:val="001F6D1C"/>
    <w:rsid w:val="0024357F"/>
    <w:rsid w:val="002B5060"/>
    <w:rsid w:val="003235AB"/>
    <w:rsid w:val="003870B5"/>
    <w:rsid w:val="00423C8D"/>
    <w:rsid w:val="00425410"/>
    <w:rsid w:val="004F6535"/>
    <w:rsid w:val="00515F29"/>
    <w:rsid w:val="0052187E"/>
    <w:rsid w:val="00553B74"/>
    <w:rsid w:val="006059C4"/>
    <w:rsid w:val="0064576B"/>
    <w:rsid w:val="00675765"/>
    <w:rsid w:val="006B3E05"/>
    <w:rsid w:val="006D0AA8"/>
    <w:rsid w:val="00783C6C"/>
    <w:rsid w:val="007A61A4"/>
    <w:rsid w:val="007E5EDD"/>
    <w:rsid w:val="00861C84"/>
    <w:rsid w:val="0086624C"/>
    <w:rsid w:val="00926172"/>
    <w:rsid w:val="00944620"/>
    <w:rsid w:val="00A22B58"/>
    <w:rsid w:val="00A74777"/>
    <w:rsid w:val="00AB087E"/>
    <w:rsid w:val="00AD30CC"/>
    <w:rsid w:val="00AD6860"/>
    <w:rsid w:val="00AE65A1"/>
    <w:rsid w:val="00BA7B3E"/>
    <w:rsid w:val="00BE1D20"/>
    <w:rsid w:val="00C163DD"/>
    <w:rsid w:val="00C276E5"/>
    <w:rsid w:val="00C54FC1"/>
    <w:rsid w:val="00C85128"/>
    <w:rsid w:val="00CA38F3"/>
    <w:rsid w:val="00CD3E8B"/>
    <w:rsid w:val="00D662BB"/>
    <w:rsid w:val="00E25386"/>
    <w:rsid w:val="00E55747"/>
    <w:rsid w:val="00E60848"/>
    <w:rsid w:val="00F058A5"/>
    <w:rsid w:val="00F65BAD"/>
    <w:rsid w:val="00FA2402"/>
    <w:rsid w:val="00FE0451"/>
    <w:rsid w:val="01FD4D1D"/>
    <w:rsid w:val="020A2423"/>
    <w:rsid w:val="020C3C90"/>
    <w:rsid w:val="03D3511B"/>
    <w:rsid w:val="05E71DD2"/>
    <w:rsid w:val="063D7E92"/>
    <w:rsid w:val="07A86B76"/>
    <w:rsid w:val="07F43F20"/>
    <w:rsid w:val="0BCE59C1"/>
    <w:rsid w:val="0D2405A3"/>
    <w:rsid w:val="0D4F18A0"/>
    <w:rsid w:val="0DEA74AB"/>
    <w:rsid w:val="0E663E2F"/>
    <w:rsid w:val="111950A1"/>
    <w:rsid w:val="11205D80"/>
    <w:rsid w:val="12B64140"/>
    <w:rsid w:val="13613D47"/>
    <w:rsid w:val="15294371"/>
    <w:rsid w:val="17645AF2"/>
    <w:rsid w:val="17934A70"/>
    <w:rsid w:val="19574585"/>
    <w:rsid w:val="19BF1493"/>
    <w:rsid w:val="1A45745C"/>
    <w:rsid w:val="1AEF1907"/>
    <w:rsid w:val="1B1A3E7B"/>
    <w:rsid w:val="1C156FDD"/>
    <w:rsid w:val="1CCB1D67"/>
    <w:rsid w:val="1EB337C9"/>
    <w:rsid w:val="1F6F10D0"/>
    <w:rsid w:val="20783447"/>
    <w:rsid w:val="23E517E3"/>
    <w:rsid w:val="244C5333"/>
    <w:rsid w:val="24ED1D7C"/>
    <w:rsid w:val="257244DC"/>
    <w:rsid w:val="26F50DD8"/>
    <w:rsid w:val="2A4B4032"/>
    <w:rsid w:val="2B1A7A2A"/>
    <w:rsid w:val="2D91556D"/>
    <w:rsid w:val="333326C5"/>
    <w:rsid w:val="336A3DEE"/>
    <w:rsid w:val="34442E37"/>
    <w:rsid w:val="35283941"/>
    <w:rsid w:val="37A706A2"/>
    <w:rsid w:val="37DE7AF1"/>
    <w:rsid w:val="3828068F"/>
    <w:rsid w:val="39102358"/>
    <w:rsid w:val="399504CA"/>
    <w:rsid w:val="3D0D4D0E"/>
    <w:rsid w:val="3DCF7175"/>
    <w:rsid w:val="3E35748B"/>
    <w:rsid w:val="3E773888"/>
    <w:rsid w:val="3E897C51"/>
    <w:rsid w:val="43A3777C"/>
    <w:rsid w:val="455712B1"/>
    <w:rsid w:val="4689585C"/>
    <w:rsid w:val="47FE3495"/>
    <w:rsid w:val="4AD2545D"/>
    <w:rsid w:val="4B0E5B4D"/>
    <w:rsid w:val="4DEF1745"/>
    <w:rsid w:val="4DFA26DB"/>
    <w:rsid w:val="4F4003CF"/>
    <w:rsid w:val="5044409D"/>
    <w:rsid w:val="50C50394"/>
    <w:rsid w:val="50FB5B77"/>
    <w:rsid w:val="537C57C9"/>
    <w:rsid w:val="53AF291F"/>
    <w:rsid w:val="565B421E"/>
    <w:rsid w:val="57BA2348"/>
    <w:rsid w:val="58665579"/>
    <w:rsid w:val="5CB7558D"/>
    <w:rsid w:val="5E827FDF"/>
    <w:rsid w:val="5FAC04A2"/>
    <w:rsid w:val="61796BF5"/>
    <w:rsid w:val="63D23ADB"/>
    <w:rsid w:val="648861CE"/>
    <w:rsid w:val="64C91E27"/>
    <w:rsid w:val="650643D4"/>
    <w:rsid w:val="66C143F3"/>
    <w:rsid w:val="698254AB"/>
    <w:rsid w:val="69E8310B"/>
    <w:rsid w:val="6F67725A"/>
    <w:rsid w:val="6FBB70C4"/>
    <w:rsid w:val="70D26B1A"/>
    <w:rsid w:val="71452A4F"/>
    <w:rsid w:val="721F6FD8"/>
    <w:rsid w:val="724104EE"/>
    <w:rsid w:val="74356A86"/>
    <w:rsid w:val="74ED70FF"/>
    <w:rsid w:val="78AD3ED3"/>
    <w:rsid w:val="796249F1"/>
    <w:rsid w:val="79CD41DC"/>
    <w:rsid w:val="7BED1C31"/>
    <w:rsid w:val="7DBD0B2A"/>
    <w:rsid w:val="7E7F2D25"/>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仿宋_GB2312" w:cs="Times New Roman"/>
      <w:sz w:val="18"/>
      <w:szCs w:val="18"/>
    </w:rPr>
  </w:style>
  <w:style w:type="character" w:customStyle="1" w:styleId="7">
    <w:name w:val="页脚 Char"/>
    <w:basedOn w:val="5"/>
    <w:link w:val="2"/>
    <w:qFormat/>
    <w:uiPriority w:val="99"/>
    <w:rPr>
      <w:rFonts w:ascii="Times New Roman" w:hAnsi="Times New Roman" w:eastAsia="仿宋_GB2312" w:cs="Times New Roman"/>
      <w:sz w:val="18"/>
      <w:szCs w:val="18"/>
    </w:rPr>
  </w:style>
  <w:style w:type="paragraph" w:customStyle="1" w:styleId="8">
    <w:name w:val="Table Paragraph"/>
    <w:basedOn w:val="1"/>
    <w:qFormat/>
    <w:uiPriority w:val="1"/>
  </w:style>
  <w:style w:type="table" w:customStyle="1" w:styleId="9">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00E411-B0D0-41CC-8F6D-0A6F37B9B23E}">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6</Pages>
  <Words>4795</Words>
  <Characters>5360</Characters>
  <Lines>9</Lines>
  <Paragraphs>2</Paragraphs>
  <TotalTime>34</TotalTime>
  <ScaleCrop>false</ScaleCrop>
  <LinksUpToDate>false</LinksUpToDate>
  <CharactersWithSpaces>5457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我的钢铁-龚慧珍</cp:lastModifiedBy>
  <cp:lastPrinted>2023-05-23T07:06:00Z</cp:lastPrinted>
  <dcterms:modified xsi:type="dcterms:W3CDTF">2023-05-25T10:43:09Z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7D38B6B767724D029124D13A5BAAEA3E_13</vt:lpwstr>
  </property>
</Properties>
</file>