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autoSpaceDN w:val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黑体"/>
          <w:lang w:bidi="ar"/>
        </w:rPr>
        <w:t>附件4</w:t>
      </w:r>
    </w:p>
    <w:p>
      <w:pPr>
        <w:widowControl/>
        <w:suppressAutoHyphens/>
        <w:autoSpaceDN w:val="0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widowControl/>
        <w:suppressAutoHyphens/>
        <w:autoSpaceDN w:val="0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无组织排放控制及清洁运输要求</w:t>
      </w:r>
    </w:p>
    <w:p>
      <w:pPr>
        <w:widowControl/>
        <w:suppressAutoHyphens/>
        <w:autoSpaceDN w:val="0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tbl>
      <w:tblPr>
        <w:tblStyle w:val="3"/>
        <w:tblW w:w="95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180"/>
        <w:gridCol w:w="7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310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 xml:space="preserve">  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主要环节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2237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 xml:space="preserve">                 控制措施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物料储存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1.石灰石、页岩、泥岩、煤矸石、原煤等原（燃）料在满足安全生产的条件下，在全封闭式料棚内存放。 </w:t>
            </w:r>
          </w:p>
          <w:p>
            <w:pPr>
              <w:pStyle w:val="5"/>
              <w:adjustRightInd w:val="0"/>
              <w:snapToGrid w:val="0"/>
              <w:ind w:left="107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2.熟料全部封闭储存。 </w:t>
            </w:r>
          </w:p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3.生料、粉煤灰、矿渣微粉、成品水泥等粉状物料应采用密闭料仓、储罐等方式密闭储存。 </w:t>
            </w:r>
          </w:p>
          <w:p>
            <w:pPr>
              <w:pStyle w:val="5"/>
              <w:adjustRightInd w:val="0"/>
              <w:snapToGrid w:val="0"/>
              <w:ind w:left="107" w:right="21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4.协同处置固体废物的，其贮存设施应采用封闭措施，确保其中有生活垃圾或污泥存放时处于负压状态；贮存设施内抽取的空气应导入水泥窑高温区焚烧处理，或经过其他处理措施达标后排放。 </w:t>
            </w:r>
          </w:p>
          <w:p>
            <w:pPr>
              <w:pStyle w:val="5"/>
              <w:adjustRightInd w:val="0"/>
              <w:snapToGrid w:val="0"/>
              <w:ind w:left="107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5.料棚（不含熟料）安装喷干雾抑尘设施，棚内地面硬化，出入口安装自动门。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物料输送 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1.散状原（燃）料卸车、上料、配料、输送在确保安全的情况下密闭作业。 </w:t>
            </w:r>
          </w:p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2.运输皮带、斗提、斜槽等应全封闭，各转载、下料口等产尘点应设置集气罩并配置高效袋式除尘器。 </w:t>
            </w:r>
          </w:p>
          <w:p>
            <w:pPr>
              <w:pStyle w:val="5"/>
              <w:adjustRightInd w:val="0"/>
              <w:snapToGrid w:val="0"/>
              <w:ind w:left="107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3.库顶等泄压口配备高效袋式除尘器。 </w:t>
            </w:r>
          </w:p>
          <w:p>
            <w:pPr>
              <w:pStyle w:val="5"/>
              <w:adjustRightInd w:val="0"/>
              <w:snapToGrid w:val="0"/>
              <w:ind w:left="107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4.除尘灰采用负压、罐车等密闭方式运输。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生产工艺 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ind w:left="107" w:right="21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1.石灰石、石膏、熟料、煤、混合材等物料厂内破碎时，应在破碎机进料口设置集气罩，出料口采用密闭装置，并配备除尘设施。石膏等粘湿物料下料口安装雾化喷淋装置。</w:t>
            </w:r>
          </w:p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2.磨前喂料装置、烘干机与集气罩的连接处应密闭，卸料口和除尘器出灰口应安装锁风装置。 </w:t>
            </w:r>
          </w:p>
          <w:p>
            <w:pPr>
              <w:pStyle w:val="5"/>
              <w:adjustRightInd w:val="0"/>
              <w:snapToGrid w:val="0"/>
              <w:ind w:left="107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3.窑系统应保持微负压，定期检查。 </w:t>
            </w:r>
          </w:p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4.熟料冷却机卸料口应设置集气罩，并配备除尘设施。 </w:t>
            </w:r>
          </w:p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5.氨水或液氨使用专用密闭罐车运输，配套氨气回收或吸收回用装置。 </w:t>
            </w:r>
          </w:p>
          <w:p>
            <w:pPr>
              <w:pStyle w:val="5"/>
              <w:adjustRightInd w:val="0"/>
              <w:snapToGrid w:val="0"/>
              <w:ind w:left="107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6.氨水罐区及易泄露点位设置氨气泄露检测设施。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清洁运输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ind w:left="107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1.进出企业的物料和产品，鼓励采用铁路、水路、管道、带式输送机、封闭式皮带廊道及新能源车辆等清洁方式运输方式，或采用国六及以上排放标准车辆。</w:t>
            </w:r>
          </w:p>
          <w:p>
            <w:pPr>
              <w:pStyle w:val="5"/>
              <w:adjustRightInd w:val="0"/>
              <w:snapToGrid w:val="0"/>
              <w:ind w:left="107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2.鼓励厂内车辆使用达到国六及以上排放标准或使用新能源车辆，非道路移动机械使用达到国三及以上排放标准或新能源机械，新购置（含更新）的非道路移动机械使用新能源机械或达到国四排放标准。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其他 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1.厂区道路应全部硬化，及时清扫、定期洒水。 </w:t>
            </w:r>
          </w:p>
          <w:p>
            <w:pPr>
              <w:pStyle w:val="5"/>
              <w:adjustRightInd w:val="0"/>
              <w:snapToGrid w:val="0"/>
              <w:ind w:left="107" w:right="216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2.企业厂区出口和汽车运输料场出口处（料场口与厂区出口距离在 100米以内的可合并安装1处洗车台）配备自动感应式高压清洗装置，对所有货物运输车辆的车轮、底盘进行冲洗。</w:t>
            </w:r>
          </w:p>
          <w:p>
            <w:pPr>
              <w:pStyle w:val="5"/>
              <w:adjustRightInd w:val="0"/>
              <w:snapToGrid w:val="0"/>
              <w:ind w:left="107" w:right="216"/>
            </w:pPr>
            <w:r>
              <w:rPr>
                <w:rFonts w:ascii="仿宋_GB2312" w:eastAsia="仿宋_GB2312" w:cs="仿宋_GB2312"/>
                <w:sz w:val="21"/>
                <w:szCs w:val="21"/>
              </w:rPr>
              <w:t>3.在保障安全生产的前提下，针对性采取封闭、密闭等治理措施，产尘点及车间不得有可见烟粉尘外逸。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zlkMDQ1NTJmNWQ1OTk0ZTE2ZWZmMTdkMTRlMWEifQ=="/>
  </w:docVars>
  <w:rsids>
    <w:rsidRoot w:val="1FA73BF4"/>
    <w:rsid w:val="1F1F3FBD"/>
    <w:rsid w:val="1FA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customStyle="1" w:styleId="5">
    <w:name w:val="Table Paragraph"/>
    <w:basedOn w:val="1"/>
    <w:next w:val="2"/>
    <w:uiPriority w:val="0"/>
    <w:pPr>
      <w:autoSpaceDE w:val="0"/>
      <w:autoSpaceDN w:val="0"/>
      <w:jc w:val="left"/>
    </w:pPr>
    <w:rPr>
      <w:rFonts w:hint="eastAsia" w:ascii="宋体" w:hAnsi="宋体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2023-10-16T07:32:00Z</dcterms:created>
  <dc:creator>Administrator</dc:creator>
  <cp:lastModifiedBy>罗莹</cp:lastModifiedBy>
  <dcterms:modified xsi:type="dcterms:W3CDTF">2023-10-17T07:17:06Z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A6B45CD8ECB946A48D45E702CEC85EF3_13</vt:lpwstr>
  </property>
</Properties>
</file>