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line="240" w:lineRule="auto"/>
        <w:jc w:val="both"/>
        <w:textAlignment w:val="top"/>
        <w:rPr>
          <w:rFonts w:hint="default" w:ascii="Times New Roman" w:hAnsi="Times New Roman" w:eastAsia="黑体" w:cs="Times New Roman"/>
          <w:i w:val="0"/>
          <w:color w:val="000000"/>
          <w:sz w:val="32"/>
          <w:szCs w:val="32"/>
          <w:u w:val="none"/>
        </w:rPr>
      </w:pPr>
      <w:r>
        <w:rPr>
          <w:rFonts w:hint="default" w:ascii="Times New Roman" w:hAnsi="Times New Roman" w:eastAsia="黑体" w:cs="Times New Roman"/>
          <w:i w:val="0"/>
          <w:color w:val="000000"/>
          <w:kern w:val="0"/>
          <w:sz w:val="32"/>
          <w:szCs w:val="32"/>
          <w:u w:val="none"/>
          <w:lang w:val="en-US" w:eastAsia="zh-CN" w:bidi="ar"/>
        </w:rPr>
        <w:t>附件</w:t>
      </w:r>
      <w:r>
        <w:rPr>
          <w:rStyle w:val="5"/>
          <w:rFonts w:hint="default" w:ascii="Times New Roman" w:hAnsi="Times New Roman" w:eastAsia="黑体" w:cs="Times New Roman"/>
          <w:sz w:val="32"/>
          <w:szCs w:val="32"/>
          <w:lang w:val="en-US" w:eastAsia="zh-CN" w:bidi="ar"/>
        </w:rPr>
        <w:t>1</w:t>
      </w:r>
    </w:p>
    <w:p>
      <w:pPr>
        <w:keepNext w:val="0"/>
        <w:keepLines w:val="0"/>
        <w:widowControl/>
        <w:suppressLineNumbers w:val="0"/>
        <w:spacing w:before="179" w:beforeLines="30" w:after="179" w:afterLines="30" w:line="600" w:lineRule="exact"/>
        <w:jc w:val="center"/>
        <w:textAlignment w:val="center"/>
        <w:rPr>
          <w:rFonts w:hint="default" w:ascii="Times New Roman" w:hAnsi="Times New Roman" w:eastAsia="方正小标宋简体" w:cs="Times New Roman"/>
          <w:i w:val="0"/>
          <w:color w:val="000000"/>
          <w:sz w:val="44"/>
          <w:szCs w:val="44"/>
          <w:u w:val="none"/>
        </w:rPr>
      </w:pPr>
      <w:bookmarkStart w:id="0" w:name="_GoBack"/>
      <w:r>
        <w:rPr>
          <w:rFonts w:hint="default" w:ascii="Times New Roman" w:hAnsi="Times New Roman" w:eastAsia="方正小标宋简体" w:cs="Times New Roman"/>
          <w:i w:val="0"/>
          <w:color w:val="000000"/>
          <w:kern w:val="0"/>
          <w:sz w:val="44"/>
          <w:szCs w:val="44"/>
          <w:u w:val="none"/>
          <w:lang w:val="en-US" w:eastAsia="zh-CN" w:bidi="ar"/>
        </w:rPr>
        <w:t>调入</w:t>
      </w:r>
      <w:r>
        <w:rPr>
          <w:rStyle w:val="6"/>
          <w:rFonts w:hint="default" w:ascii="Times New Roman" w:hAnsi="Times New Roman" w:eastAsia="方正小标宋简体" w:cs="Times New Roman"/>
          <w:sz w:val="44"/>
          <w:szCs w:val="44"/>
          <w:lang w:val="en-US" w:eastAsia="zh-CN" w:bidi="ar"/>
        </w:rPr>
        <w:t>2023</w:t>
      </w:r>
      <w:r>
        <w:rPr>
          <w:rStyle w:val="7"/>
          <w:rFonts w:hint="default" w:ascii="Times New Roman" w:hAnsi="Times New Roman" w:eastAsia="方正小标宋简体" w:cs="Times New Roman"/>
          <w:sz w:val="44"/>
          <w:szCs w:val="44"/>
          <w:lang w:val="en-US" w:eastAsia="zh-CN" w:bidi="ar"/>
        </w:rPr>
        <w:t>年省重点建设项目名单</w:t>
      </w:r>
    </w:p>
    <w:bookmarkEnd w:id="0"/>
    <w:tbl>
      <w:tblPr>
        <w:tblStyle w:val="4"/>
        <w:tblW w:w="8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7"/>
        <w:gridCol w:w="240"/>
        <w:gridCol w:w="1822"/>
        <w:gridCol w:w="222"/>
        <w:gridCol w:w="4010"/>
        <w:gridCol w:w="240"/>
        <w:gridCol w:w="1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blHeader/>
        </w:trPr>
        <w:tc>
          <w:tcPr>
            <w:tcW w:w="767" w:type="dxa"/>
            <w:tcBorders>
              <w:top w:val="nil"/>
              <w:left w:val="nil"/>
              <w:bottom w:val="nil"/>
              <w:right w:val="nil"/>
            </w:tcBorders>
            <w:vAlign w:val="center"/>
          </w:tcPr>
          <w:p>
            <w:pPr>
              <w:keepNext w:val="0"/>
              <w:keepLines w:val="0"/>
              <w:widowControl/>
              <w:suppressLineNumbers w:val="0"/>
              <w:spacing w:after="179" w:afterLines="30" w:line="300" w:lineRule="exact"/>
              <w:jc w:val="center"/>
              <w:textAlignment w:val="top"/>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序号</w:t>
            </w:r>
          </w:p>
        </w:tc>
        <w:tc>
          <w:tcPr>
            <w:tcW w:w="240" w:type="dxa"/>
            <w:tcBorders>
              <w:top w:val="nil"/>
              <w:left w:val="nil"/>
              <w:bottom w:val="nil"/>
              <w:right w:val="nil"/>
            </w:tcBorders>
            <w:vAlign w:val="center"/>
          </w:tcPr>
          <w:p>
            <w:pPr>
              <w:spacing w:after="179" w:afterLines="30" w:line="300" w:lineRule="exact"/>
              <w:jc w:val="center"/>
              <w:rPr>
                <w:rFonts w:hint="eastAsia" w:ascii="黑体" w:hAnsi="黑体" w:eastAsia="黑体" w:cs="黑体"/>
                <w:i w:val="0"/>
                <w:color w:val="000000"/>
                <w:sz w:val="22"/>
                <w:szCs w:val="22"/>
                <w:u w:val="none"/>
              </w:rPr>
            </w:pPr>
          </w:p>
        </w:tc>
        <w:tc>
          <w:tcPr>
            <w:tcW w:w="1822" w:type="dxa"/>
            <w:tcBorders>
              <w:top w:val="nil"/>
              <w:left w:val="nil"/>
              <w:bottom w:val="nil"/>
              <w:right w:val="nil"/>
            </w:tcBorders>
            <w:vAlign w:val="center"/>
          </w:tcPr>
          <w:p>
            <w:pPr>
              <w:keepNext w:val="0"/>
              <w:keepLines w:val="0"/>
              <w:widowControl/>
              <w:suppressLineNumbers w:val="0"/>
              <w:spacing w:after="179" w:afterLines="30" w:line="300" w:lineRule="exact"/>
              <w:jc w:val="center"/>
              <w:textAlignment w:val="top"/>
              <w:rPr>
                <w:rFonts w:hint="eastAsia" w:ascii="黑体" w:hAnsi="黑体" w:eastAsia="黑体" w:cs="黑体"/>
                <w:i w:val="0"/>
                <w:color w:val="000000"/>
                <w:sz w:val="22"/>
                <w:szCs w:val="22"/>
                <w:u w:val="none"/>
              </w:rPr>
            </w:pPr>
            <w:r>
              <w:rPr>
                <w:rStyle w:val="8"/>
                <w:rFonts w:hint="eastAsia" w:ascii="黑体" w:hAnsi="黑体" w:eastAsia="黑体" w:cs="黑体"/>
                <w:sz w:val="22"/>
                <w:szCs w:val="22"/>
                <w:lang w:val="en-US" w:eastAsia="zh-CN" w:bidi="ar"/>
              </w:rPr>
              <w:t>项目名称</w:t>
            </w:r>
          </w:p>
        </w:tc>
        <w:tc>
          <w:tcPr>
            <w:tcW w:w="222" w:type="dxa"/>
            <w:tcBorders>
              <w:top w:val="nil"/>
              <w:left w:val="nil"/>
              <w:bottom w:val="nil"/>
              <w:right w:val="nil"/>
            </w:tcBorders>
            <w:vAlign w:val="center"/>
          </w:tcPr>
          <w:p>
            <w:pPr>
              <w:spacing w:after="179" w:afterLines="30" w:line="300" w:lineRule="exact"/>
              <w:jc w:val="center"/>
              <w:rPr>
                <w:rFonts w:hint="eastAsia" w:ascii="黑体" w:hAnsi="黑体" w:eastAsia="黑体" w:cs="黑体"/>
                <w:i w:val="0"/>
                <w:color w:val="000000"/>
                <w:sz w:val="22"/>
                <w:szCs w:val="22"/>
                <w:u w:val="none"/>
              </w:rPr>
            </w:pPr>
          </w:p>
        </w:tc>
        <w:tc>
          <w:tcPr>
            <w:tcW w:w="4010" w:type="dxa"/>
            <w:tcBorders>
              <w:top w:val="nil"/>
              <w:left w:val="nil"/>
              <w:bottom w:val="nil"/>
              <w:right w:val="nil"/>
            </w:tcBorders>
            <w:vAlign w:val="center"/>
          </w:tcPr>
          <w:p>
            <w:pPr>
              <w:keepNext w:val="0"/>
              <w:keepLines w:val="0"/>
              <w:widowControl/>
              <w:suppressLineNumbers w:val="0"/>
              <w:spacing w:after="179" w:afterLines="30" w:line="300" w:lineRule="exact"/>
              <w:jc w:val="center"/>
              <w:textAlignment w:val="top"/>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主要建设内容及规模</w:t>
            </w:r>
          </w:p>
        </w:tc>
        <w:tc>
          <w:tcPr>
            <w:tcW w:w="240" w:type="dxa"/>
            <w:tcBorders>
              <w:top w:val="nil"/>
              <w:left w:val="nil"/>
              <w:bottom w:val="nil"/>
              <w:right w:val="nil"/>
            </w:tcBorders>
            <w:vAlign w:val="center"/>
          </w:tcPr>
          <w:p>
            <w:pPr>
              <w:spacing w:after="179" w:afterLines="30" w:line="300" w:lineRule="exact"/>
              <w:jc w:val="center"/>
              <w:rPr>
                <w:rFonts w:hint="eastAsia" w:ascii="黑体" w:hAnsi="黑体" w:eastAsia="黑体" w:cs="黑体"/>
                <w:i w:val="0"/>
                <w:color w:val="000000"/>
                <w:sz w:val="22"/>
                <w:szCs w:val="22"/>
                <w:u w:val="none"/>
              </w:rPr>
            </w:pPr>
          </w:p>
        </w:tc>
        <w:tc>
          <w:tcPr>
            <w:tcW w:w="1645" w:type="dxa"/>
            <w:tcBorders>
              <w:top w:val="nil"/>
              <w:left w:val="nil"/>
              <w:bottom w:val="nil"/>
              <w:right w:val="nil"/>
            </w:tcBorders>
            <w:vAlign w:val="center"/>
          </w:tcPr>
          <w:p>
            <w:pPr>
              <w:keepNext w:val="0"/>
              <w:keepLines w:val="0"/>
              <w:widowControl/>
              <w:suppressLineNumbers w:val="0"/>
              <w:spacing w:after="179" w:afterLines="30" w:line="300" w:lineRule="exact"/>
              <w:jc w:val="center"/>
              <w:textAlignment w:val="top"/>
              <w:rPr>
                <w:rFonts w:hint="eastAsia" w:ascii="黑体" w:hAnsi="黑体" w:eastAsia="黑体" w:cs="黑体"/>
                <w:i w:val="0"/>
                <w:color w:val="000000"/>
                <w:sz w:val="22"/>
                <w:szCs w:val="22"/>
                <w:u w:val="none"/>
              </w:rPr>
            </w:pPr>
            <w:r>
              <w:rPr>
                <w:rStyle w:val="8"/>
                <w:rFonts w:hint="eastAsia" w:ascii="黑体" w:hAnsi="黑体" w:eastAsia="黑体" w:cs="黑体"/>
                <w:sz w:val="22"/>
                <w:szCs w:val="22"/>
                <w:lang w:val="en-US" w:eastAsia="zh-CN" w:bidi="ar"/>
              </w:rPr>
              <w:t>所在省辖市、</w:t>
            </w:r>
            <w:r>
              <w:rPr>
                <w:rStyle w:val="9"/>
                <w:rFonts w:hint="eastAsia" w:ascii="黑体" w:hAnsi="黑体" w:eastAsia="黑体" w:cs="黑体"/>
                <w:sz w:val="22"/>
                <w:szCs w:val="22"/>
                <w:lang w:val="en-US" w:eastAsia="zh-CN" w:bidi="ar"/>
              </w:rPr>
              <w:br w:type="textWrapping"/>
            </w:r>
            <w:r>
              <w:rPr>
                <w:rStyle w:val="8"/>
                <w:rFonts w:hint="eastAsia" w:ascii="黑体" w:hAnsi="黑体" w:eastAsia="黑体" w:cs="黑体"/>
                <w:sz w:val="22"/>
                <w:szCs w:val="22"/>
                <w:lang w:val="en-US" w:eastAsia="zh-CN" w:bidi="ar"/>
              </w:rPr>
              <w:t>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黑体" w:hAnsi="黑体" w:eastAsia="黑体" w:cs="黑体"/>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黑体" w:hAnsi="黑体" w:eastAsia="黑体" w:cs="黑体"/>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一、创新驱动能力提升项目</w:t>
            </w:r>
          </w:p>
        </w:tc>
        <w:tc>
          <w:tcPr>
            <w:tcW w:w="240" w:type="dxa"/>
            <w:tcBorders>
              <w:top w:val="nil"/>
              <w:left w:val="nil"/>
              <w:bottom w:val="nil"/>
              <w:right w:val="nil"/>
            </w:tcBorders>
            <w:vAlign w:val="top"/>
          </w:tcPr>
          <w:p>
            <w:pPr>
              <w:spacing w:after="238" w:afterLines="40" w:line="300" w:lineRule="exact"/>
              <w:jc w:val="both"/>
              <w:rPr>
                <w:rFonts w:hint="eastAsia" w:ascii="黑体" w:hAnsi="黑体" w:eastAsia="黑体" w:cs="黑体"/>
                <w:b/>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黑体" w:hAnsi="黑体" w:eastAsia="黑体" w:cs="黑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楷体_GB2312" w:hAnsi="楷体_GB2312" w:eastAsia="楷体_GB2312" w:cs="楷体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（一）研发平台</w:t>
            </w:r>
          </w:p>
        </w:tc>
        <w:tc>
          <w:tcPr>
            <w:tcW w:w="222"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6"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范县先进制造业开发区研发平台项目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总建筑面积为1.1万平方米，主要建设集产品研发、产品检测、产品展示、智慧中心（安全环保及应急指挥中心）等功能为一体的研发平台</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濮阳市范县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楷体_GB2312" w:hAnsi="楷体_GB2312" w:eastAsia="楷体_GB2312" w:cs="楷体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（二）双创平台</w:t>
            </w:r>
          </w:p>
        </w:tc>
        <w:tc>
          <w:tcPr>
            <w:tcW w:w="222"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9"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中原AI科技谷</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总建筑面积为45.4万平方米，主要建设智能科技产业园区，通过人工智能与AI领域科技创新，形成人工智能和AI的产业集群</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郑州市郑东新区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1"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2</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信阳羊山智慧岛建设项目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总建筑面积6.7万平方米，主要建设羊山智慧岛核心岛、科创型中小企业孵化平台、企业服务中心、数字成品展示平台及营销中心</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信阳市羊山新区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4"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3</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郑州路桥建设投资集团有限公司智能交通总部基地项目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总建筑面积17.6万平方米，主要建设路桥集团总部大厦、孵化器办公楼、厂房、配套商业设施等</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郑州高新技术产业开发区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4</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新乡高新区企业总部项目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总建筑面积5.9万平方米，主要建设工业厂房，吸引滤芯、滤纸、滤网等过滤产业上下游配套企业入驻</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新乡市高新区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1"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5</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郑州市金水区未来科技产业园建设项目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总建筑面积12.8万平方米，主要建设人工智能产业加速中心、国际企业孵化器、重点实验室和工程技术中心、技术转移与孵化区、企业总部和研发中心、智能化集成研发中心、软件研发中心等</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郑州市金水区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黑体" w:hAnsi="黑体" w:eastAsia="黑体" w:cs="黑体"/>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黑体" w:hAnsi="黑体" w:eastAsia="黑体" w:cs="黑体"/>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二、基础设施建设项目</w:t>
            </w:r>
          </w:p>
        </w:tc>
        <w:tc>
          <w:tcPr>
            <w:tcW w:w="240" w:type="dxa"/>
            <w:tcBorders>
              <w:top w:val="nil"/>
              <w:left w:val="nil"/>
              <w:bottom w:val="nil"/>
              <w:right w:val="nil"/>
            </w:tcBorders>
            <w:vAlign w:val="top"/>
          </w:tcPr>
          <w:p>
            <w:pPr>
              <w:spacing w:after="238" w:afterLines="40" w:line="300" w:lineRule="exact"/>
              <w:jc w:val="both"/>
              <w:rPr>
                <w:rFonts w:hint="eastAsia" w:ascii="黑体" w:hAnsi="黑体" w:eastAsia="黑体" w:cs="黑体"/>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黑体" w:hAnsi="黑体" w:eastAsia="黑体" w:cs="黑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楷体_GB2312" w:hAnsi="楷体_GB2312" w:eastAsia="楷体_GB2312" w:cs="楷体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（一）网络型基础设施</w:t>
            </w:r>
          </w:p>
        </w:tc>
        <w:tc>
          <w:tcPr>
            <w:tcW w:w="240"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1.现代能源保障网</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①电源</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8"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河南信阳300MW先进压缩空气储能项目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总建筑面积5.2万平方米，主要建设3套100MW压缩机组、1套300MW透平机组、1套储热系统等</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信阳市新县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5"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2</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红旗渠经济技术开发区增量配电网项目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主要建设220千伏变电站1座，110千伏变电站4座、35千伏变电站1座，150兆瓦/300兆瓦时储能电站1座，智能配电网调控平台及输配电线路设施</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安阳市林州市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②新能源</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3"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原阳新原风电场项目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总建设面积35亩，建设一座110kV升压站、100MW风电场及40MW/80MWh储能系统</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新乡市原阳县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8"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京能滑县10万千瓦风电项目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新建10万千瓦集中式风电和配套升压站及线路等工程</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安阳市滑县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③油气</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河南天然气盐穴储气库</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总建筑面积6.4万平方米，主要包括地下工程和地面工程，地下工程包括2组对接井老腔利用、新建10口储气溶腔，预计形成</w:t>
            </w:r>
            <w:r>
              <w:rPr>
                <w:rFonts w:hint="eastAsia" w:ascii="Times New Roman" w:hAnsi="Times New Roman" w:eastAsia="仿宋_GB2312" w:cs="仿宋_GB2312"/>
                <w:i w:val="0"/>
                <w:color w:val="000000"/>
                <w:spacing w:val="-6"/>
                <w:kern w:val="0"/>
                <w:sz w:val="22"/>
                <w:szCs w:val="22"/>
                <w:u w:val="none"/>
                <w:lang w:val="en-US" w:eastAsia="zh-CN" w:bidi="ar"/>
              </w:rPr>
              <w:t>工作气量5亿方；地面工程包括1座集注站，14座注采井场和两条互联互通联络线</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平顶山市叶县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2</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中石化中原油田分公司濮阳区域产能建设工程</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新钻勘探井6口、采油井146口、注水井9口、气井2口，新建产能21万吨，并对相应的集输、注水系统、井场道路、电气仪表等进行配套改造完善</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濮阳市濮阳县、清丰县、范县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28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④煤炭</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28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280" w:lineRule="exact"/>
              <w:jc w:val="center"/>
              <w:rPr>
                <w:rFonts w:hint="default" w:ascii="Times New Roman" w:hAnsi="Times New Roman" w:eastAsia="仿宋_GB2312" w:cs="仿宋_GB2312"/>
                <w:i w:val="0"/>
                <w:color w:val="000000"/>
                <w:sz w:val="22"/>
                <w:szCs w:val="22"/>
                <w:u w:val="none"/>
                <w:lang w:val="en"/>
              </w:rPr>
            </w:pPr>
            <w:r>
              <w:rPr>
                <w:rFonts w:hint="default" w:ascii="Times New Roman" w:hAnsi="Times New Roman" w:eastAsia="仿宋_GB2312" w:cs="仿宋_GB2312"/>
                <w:i w:val="0"/>
                <w:color w:val="000000"/>
                <w:sz w:val="22"/>
                <w:szCs w:val="22"/>
                <w:u w:val="none"/>
                <w:lang w:val="en"/>
              </w:rPr>
              <w:t>1</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安阳大众煤业有限责任公司120万吨/年改扩建项目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总建筑面积为1万平方米，新增产能90万t/a；建一主井、一副井；新掘运输下山和-553运输大巷与现有生产系统联通，利用矿井现有北风井作为回风井，装备一个综合机械化采煤工作面</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安阳市殷都区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28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b/>
                <w:i w:val="0"/>
                <w:color w:val="000000"/>
                <w:sz w:val="22"/>
                <w:szCs w:val="22"/>
                <w:u w:val="none"/>
              </w:rPr>
            </w:pPr>
            <w:r>
              <w:rPr>
                <w:rFonts w:hint="eastAsia" w:ascii="Times New Roman" w:hAnsi="Times New Roman" w:eastAsia="仿宋_GB2312" w:cs="仿宋_GB2312"/>
                <w:b/>
                <w:i w:val="0"/>
                <w:color w:val="000000"/>
                <w:kern w:val="0"/>
                <w:sz w:val="22"/>
                <w:szCs w:val="22"/>
                <w:u w:val="none"/>
                <w:lang w:val="en-US" w:eastAsia="zh-CN" w:bidi="ar"/>
              </w:rPr>
              <w:t>2.现代水网体系</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28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续建项目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黄河下游“十四五”防洪工程</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主要续建控导工程33处，长20.190公里；改建加固控导工程26处，坝垛270道；改建加固险工6处，坝垛48道；改建加固防护坝7处，丁坝66道；建设控导工程防汛道路16条，长58.013公里；扩建涝河入黄口堤防1.088公里，新建跨涝河防汛交通桥1座</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郑州市、开封市、新乡市、焦作市、濮阳市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default" w:ascii="Times New Roman" w:hAnsi="Times New Roman" w:eastAsia="仿宋_GB2312" w:cs="仿宋_GB2312"/>
                <w:i w:val="0"/>
                <w:color w:val="000000"/>
                <w:sz w:val="22"/>
                <w:szCs w:val="22"/>
                <w:u w:val="none"/>
                <w:lang w:val="en"/>
              </w:rPr>
            </w:pPr>
            <w:r>
              <w:rPr>
                <w:rFonts w:hint="default" w:ascii="Times New Roman" w:hAnsi="Times New Roman" w:cs="仿宋_GB2312"/>
                <w:i w:val="0"/>
                <w:color w:val="000000"/>
                <w:kern w:val="0"/>
                <w:sz w:val="22"/>
                <w:szCs w:val="22"/>
                <w:u w:val="none"/>
                <w:lang w:val="en" w:eastAsia="zh-CN" w:bidi="ar"/>
              </w:rPr>
              <w:t>1</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信阳市大别山革命老区（潢川）现代水网一期工程项目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总治理河道105.2公里 ，主要包括白露河下游治理43公里；潢河下游治理40.5公里；老龙埂泄洪渠治理2.83公里；干支流河道治理35.7公里；平原洼地治理疏浚河沟19.3公里及桥涵，乡村振兴示范区小型水库清淤扩容16座；建设水生态培训中心、精品园艺博览区、花木交易市场等</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信阳市潢川县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260" w:lineRule="exact"/>
              <w:jc w:val="center"/>
              <w:rPr>
                <w:rFonts w:hint="eastAsia" w:ascii="楷体_GB2312" w:hAnsi="楷体_GB2312" w:eastAsia="楷体_GB2312" w:cs="楷体_GB2312"/>
                <w:i w:val="0"/>
                <w:color w:val="000000"/>
                <w:sz w:val="22"/>
                <w:szCs w:val="22"/>
                <w:u w:val="none"/>
              </w:rPr>
            </w:pPr>
          </w:p>
        </w:tc>
        <w:tc>
          <w:tcPr>
            <w:tcW w:w="240" w:type="dxa"/>
            <w:tcBorders>
              <w:top w:val="nil"/>
              <w:left w:val="nil"/>
              <w:bottom w:val="nil"/>
              <w:right w:val="nil"/>
            </w:tcBorders>
            <w:vAlign w:val="top"/>
          </w:tcPr>
          <w:p>
            <w:pPr>
              <w:spacing w:after="238" w:afterLines="40" w:line="260" w:lineRule="exact"/>
              <w:jc w:val="both"/>
              <w:rPr>
                <w:rFonts w:hint="eastAsia" w:ascii="楷体_GB2312" w:hAnsi="楷体_GB2312" w:eastAsia="楷体_GB2312" w:cs="楷体_GB2312"/>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260" w:lineRule="exact"/>
              <w:jc w:val="both"/>
              <w:textAlignment w:val="top"/>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（二）产业升级基础设施</w:t>
            </w:r>
          </w:p>
        </w:tc>
        <w:tc>
          <w:tcPr>
            <w:tcW w:w="240" w:type="dxa"/>
            <w:tcBorders>
              <w:top w:val="nil"/>
              <w:left w:val="nil"/>
              <w:bottom w:val="nil"/>
              <w:right w:val="nil"/>
            </w:tcBorders>
            <w:vAlign w:val="top"/>
          </w:tcPr>
          <w:p>
            <w:pPr>
              <w:spacing w:after="238" w:afterLines="40" w:line="260" w:lineRule="exact"/>
              <w:jc w:val="both"/>
              <w:rPr>
                <w:rFonts w:hint="eastAsia" w:ascii="楷体_GB2312" w:hAnsi="楷体_GB2312" w:eastAsia="楷体_GB2312" w:cs="楷体_GB2312"/>
                <w:i w:val="0"/>
                <w:color w:val="000000"/>
                <w:sz w:val="22"/>
                <w:szCs w:val="22"/>
                <w:u w:val="none"/>
              </w:rPr>
            </w:pPr>
          </w:p>
        </w:tc>
        <w:tc>
          <w:tcPr>
            <w:tcW w:w="1645" w:type="dxa"/>
            <w:tcBorders>
              <w:top w:val="nil"/>
              <w:left w:val="nil"/>
              <w:bottom w:val="nil"/>
              <w:right w:val="nil"/>
            </w:tcBorders>
            <w:vAlign w:val="top"/>
          </w:tcPr>
          <w:p>
            <w:pPr>
              <w:spacing w:after="238" w:afterLines="40" w:line="260" w:lineRule="exact"/>
              <w:jc w:val="both"/>
              <w:rPr>
                <w:rFonts w:hint="eastAsia" w:ascii="楷体_GB2312" w:hAnsi="楷体_GB2312" w:eastAsia="楷体_GB2312" w:cs="楷体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26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260" w:lineRule="exact"/>
              <w:jc w:val="both"/>
              <w:rPr>
                <w:rFonts w:hint="eastAsia" w:ascii="Times New Roman" w:hAnsi="Times New Roman" w:eastAsia="仿宋_GB2312" w:cs="仿宋_GB2312"/>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26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1.网络基础设施</w:t>
            </w:r>
          </w:p>
        </w:tc>
        <w:tc>
          <w:tcPr>
            <w:tcW w:w="240" w:type="dxa"/>
            <w:tcBorders>
              <w:top w:val="nil"/>
              <w:left w:val="nil"/>
              <w:bottom w:val="nil"/>
              <w:right w:val="nil"/>
            </w:tcBorders>
            <w:vAlign w:val="top"/>
          </w:tcPr>
          <w:p>
            <w:pPr>
              <w:spacing w:after="238" w:afterLines="40" w:line="26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26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26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26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6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26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spacing w:after="238" w:afterLines="40" w:line="260" w:lineRule="exact"/>
              <w:jc w:val="both"/>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26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26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280" w:lineRule="exact"/>
              <w:jc w:val="center"/>
              <w:rPr>
                <w:rFonts w:hint="default" w:ascii="Times New Roman" w:hAnsi="Times New Roman" w:eastAsia="仿宋_GB2312" w:cs="仿宋_GB2312"/>
                <w:i w:val="0"/>
                <w:color w:val="000000"/>
                <w:sz w:val="22"/>
                <w:szCs w:val="22"/>
                <w:u w:val="none"/>
                <w:lang w:val="en"/>
              </w:rPr>
            </w:pPr>
            <w:r>
              <w:rPr>
                <w:rFonts w:hint="default" w:ascii="Times New Roman" w:hAnsi="Times New Roman" w:eastAsia="仿宋_GB2312" w:cs="仿宋_GB2312"/>
                <w:i w:val="0"/>
                <w:color w:val="000000"/>
                <w:sz w:val="22"/>
                <w:szCs w:val="22"/>
                <w:u w:val="none"/>
                <w:lang w:val="en"/>
              </w:rPr>
              <w:t>1</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济源5G+数字化应用基地</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按照A级无人机试验基地建设，利用5G信息技术，拟建设无人航空器创新训培训基地、无人航空器暨创新技术产业园区、综合服务中心，竞技科普中心及相关配套服务</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济源示范区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28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2.融合基础设施</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28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280" w:lineRule="exact"/>
              <w:jc w:val="center"/>
              <w:rPr>
                <w:rFonts w:hint="default" w:ascii="Times New Roman" w:hAnsi="Times New Roman" w:eastAsia="仿宋_GB2312" w:cs="仿宋_GB2312"/>
                <w:i w:val="0"/>
                <w:color w:val="000000"/>
                <w:sz w:val="22"/>
                <w:szCs w:val="22"/>
                <w:u w:val="none"/>
                <w:lang w:val="en"/>
              </w:rPr>
            </w:pPr>
            <w:r>
              <w:rPr>
                <w:rFonts w:hint="default" w:ascii="Times New Roman" w:hAnsi="Times New Roman" w:eastAsia="仿宋_GB2312" w:cs="仿宋_GB2312"/>
                <w:i w:val="0"/>
                <w:color w:val="000000"/>
                <w:sz w:val="22"/>
                <w:szCs w:val="22"/>
                <w:u w:val="none"/>
                <w:lang w:val="en"/>
              </w:rPr>
              <w:t>1</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济源大峪智慧牧业产业园项目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总建筑面积为15.6万平方米，分为两期实施，一期主要建设主体工程、设施设备、室外工程；配套传感器、自动化挤奶机器人、数据分析和人工智能技术等智慧系统；二期主要引入优质品种奶牛1万头</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济源示范区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280" w:lineRule="exact"/>
              <w:jc w:val="center"/>
              <w:rPr>
                <w:rFonts w:hint="eastAsia" w:ascii="楷体_GB2312" w:hAnsi="楷体_GB2312" w:eastAsia="楷体_GB2312" w:cs="楷体_GB2312"/>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楷体_GB2312" w:hAnsi="楷体_GB2312" w:eastAsia="楷体_GB2312" w:cs="楷体_GB2312"/>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（三）城市基础设施</w:t>
            </w:r>
          </w:p>
        </w:tc>
        <w:tc>
          <w:tcPr>
            <w:tcW w:w="240" w:type="dxa"/>
            <w:tcBorders>
              <w:top w:val="nil"/>
              <w:left w:val="nil"/>
              <w:bottom w:val="nil"/>
              <w:right w:val="nil"/>
            </w:tcBorders>
            <w:vAlign w:val="top"/>
          </w:tcPr>
          <w:p>
            <w:pPr>
              <w:spacing w:after="238" w:afterLines="40" w:line="280" w:lineRule="exact"/>
              <w:jc w:val="both"/>
              <w:rPr>
                <w:rFonts w:hint="eastAsia" w:ascii="楷体_GB2312" w:hAnsi="楷体_GB2312" w:eastAsia="楷体_GB2312" w:cs="楷体_GB2312"/>
                <w:i w:val="0"/>
                <w:color w:val="000000"/>
                <w:sz w:val="22"/>
                <w:szCs w:val="22"/>
                <w:u w:val="none"/>
              </w:rPr>
            </w:pPr>
          </w:p>
        </w:tc>
        <w:tc>
          <w:tcPr>
            <w:tcW w:w="1645" w:type="dxa"/>
            <w:tcBorders>
              <w:top w:val="nil"/>
              <w:left w:val="nil"/>
              <w:bottom w:val="nil"/>
              <w:right w:val="nil"/>
            </w:tcBorders>
            <w:vAlign w:val="top"/>
          </w:tcPr>
          <w:p>
            <w:pPr>
              <w:spacing w:after="238" w:afterLines="40" w:line="280" w:lineRule="exact"/>
              <w:jc w:val="both"/>
              <w:rPr>
                <w:rFonts w:hint="eastAsia" w:ascii="楷体_GB2312" w:hAnsi="楷体_GB2312" w:eastAsia="楷体_GB2312" w:cs="楷体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28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1.公共设施补短板工程</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28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6"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宁陵县农村饮水安全水源置换及智慧用水工程项目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主要包括水源置换工程、智慧供水工程、拦蓄水闸工程。新建调蓄湖2座，蓄水量700万立方米，新建2座净水厂，包括16万农村饮水用户及工商业用水户智能水表安装、监控、在线监测。 拦蓄水闸工程11座：重建9座、新建2座拦蓄水闸</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商丘市宁陵县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2</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封丘县南水北调水厂供水工程</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一期新建1座设计规模10万m</w:t>
            </w:r>
            <w:r>
              <w:rPr>
                <w:rStyle w:val="10"/>
                <w:rFonts w:ascii="Times New Roman" w:hAnsi="Times New Roman" w:eastAsia="仿宋_GB2312" w:cs="仿宋_GB2312"/>
                <w:sz w:val="22"/>
                <w:szCs w:val="22"/>
                <w:lang w:val="en-US" w:eastAsia="zh-CN" w:bidi="ar"/>
              </w:rPr>
              <w:t>³</w:t>
            </w:r>
            <w:r>
              <w:rPr>
                <w:rStyle w:val="11"/>
                <w:rFonts w:hint="eastAsia" w:ascii="Times New Roman" w:hAnsi="Times New Roman"/>
                <w:sz w:val="22"/>
                <w:szCs w:val="22"/>
                <w:lang w:val="en-US" w:eastAsia="zh-CN" w:bidi="ar"/>
              </w:rPr>
              <w:t>/d城乡供水南水北调配套水厂，配水管网287.9km，加压泵站3座，入户水表更换约15万块；二期新建设计规模1万m</w:t>
            </w:r>
            <w:r>
              <w:rPr>
                <w:rStyle w:val="10"/>
                <w:rFonts w:ascii="Times New Roman" w:hAnsi="Times New Roman" w:eastAsia="仿宋_GB2312" w:cs="仿宋_GB2312"/>
                <w:sz w:val="22"/>
                <w:szCs w:val="22"/>
                <w:lang w:val="en-US" w:eastAsia="zh-CN" w:bidi="ar"/>
              </w:rPr>
              <w:t>³</w:t>
            </w:r>
            <w:r>
              <w:rPr>
                <w:rStyle w:val="11"/>
                <w:rFonts w:hint="eastAsia" w:ascii="Times New Roman" w:hAnsi="Times New Roman"/>
                <w:sz w:val="22"/>
                <w:szCs w:val="22"/>
                <w:lang w:val="en-US" w:eastAsia="zh-CN" w:bidi="ar"/>
              </w:rPr>
              <w:t>/d的城乡污水城南新区污水处理厂，12座镇级污水处理站，1处人工湿地，159.64km污水管网</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新乡市封丘县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8"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3</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新乡经济技术开发区中水余热集中供暖项目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项目供热分二期工程，其中一期工程建设1座能源站，二期工程建设2座能源站，使用污水处理厂中水余热对周边小区进行集中供暖</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新乡市经开区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67" w:type="dxa"/>
            <w:tcBorders>
              <w:top w:val="nil"/>
              <w:left w:val="nil"/>
              <w:bottom w:val="nil"/>
              <w:right w:val="nil"/>
            </w:tcBorders>
            <w:vAlign w:val="top"/>
          </w:tcPr>
          <w:p>
            <w:pPr>
              <w:spacing w:after="238" w:afterLines="40" w:line="300" w:lineRule="exact"/>
              <w:jc w:val="center"/>
              <w:rPr>
                <w:rFonts w:hint="eastAsia" w:ascii="黑体" w:hAnsi="黑体" w:eastAsia="黑体" w:cs="黑体"/>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黑体" w:hAnsi="黑体" w:eastAsia="黑体" w:cs="黑体"/>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三、产业转型发展项目</w:t>
            </w:r>
          </w:p>
        </w:tc>
        <w:tc>
          <w:tcPr>
            <w:tcW w:w="240" w:type="dxa"/>
            <w:tcBorders>
              <w:top w:val="nil"/>
              <w:left w:val="nil"/>
              <w:bottom w:val="nil"/>
              <w:right w:val="nil"/>
            </w:tcBorders>
            <w:vAlign w:val="top"/>
          </w:tcPr>
          <w:p>
            <w:pPr>
              <w:spacing w:after="238" w:afterLines="40" w:line="300" w:lineRule="exact"/>
              <w:jc w:val="both"/>
              <w:rPr>
                <w:rFonts w:hint="eastAsia" w:ascii="黑体" w:hAnsi="黑体" w:eastAsia="黑体" w:cs="黑体"/>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67" w:type="dxa"/>
            <w:tcBorders>
              <w:top w:val="nil"/>
              <w:left w:val="nil"/>
              <w:bottom w:val="nil"/>
              <w:right w:val="nil"/>
            </w:tcBorders>
            <w:vAlign w:val="top"/>
          </w:tcPr>
          <w:p>
            <w:pPr>
              <w:spacing w:after="238" w:afterLines="40" w:line="300" w:lineRule="exact"/>
              <w:jc w:val="center"/>
              <w:rPr>
                <w:rFonts w:hint="eastAsia" w:ascii="楷体_GB2312" w:hAnsi="楷体_GB2312" w:eastAsia="楷体_GB2312" w:cs="楷体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（一）先进制造业</w:t>
            </w:r>
          </w:p>
        </w:tc>
        <w:tc>
          <w:tcPr>
            <w:tcW w:w="240"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 xml:space="preserve">  1、传统产业</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①材料</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68"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周口钢铁宽厚板生产建设项目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26.76万平方米，主要建设标准化厂房、宽厚板主车间、板坯库、加热炉区、轧机区、轧辊间、冷床区、剪切线区、精整区、特厚板处理区、热处理区及配套公辅设施，建设1条设计轧钢产能260万吨/年的宽厚板生产线,采用5600mm+5500mm双机架轧机</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周口市沈丘县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2"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2</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濮阳盛源集团高端新材料一体化项目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2.3万平方米，一期建设年产30万吨苯精制生产装置，二期建设年产20万吨重芳烃深加工一体化装置，三期建设年产5000吨聚酰亚胺高端新材料生产装置，配套建设4.8万立方米保税罐区及顺酐延炼高端新材料一体化装置</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濮阳市范县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3</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河南丰利石化有限公司技术改造和扩建项目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总建筑面积2.2万平方米，主要建设沥青及成品油罐区，汽油、沥青物料储量3万立方米，同时对燃料油预处理装置进行安全环保质量升级、节能降碳综合提升，对汽油脱硫醇技术改造</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濮阳市范县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4</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汝州市豫鼎实业有限公司年产700万吨砂石骨料生产线项目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总建筑面积15万平方米，主要建设砂石骨料生产线、厂房、仓库及配套设施等，年产700万吨的砂石骨料</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平顶山市汝州市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5</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道尔科技年产6万吨汽车涂料及高分子新材料研发项目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总建筑面积5万平方米，主要建设生产车间、成品库、原料库、包装库、罐区、办公研发中心等辅助生产设施，年产环保汽车涂料6万吨（其中配套高分子新材料树脂2万吨）</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商丘市宁陵县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6</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驻马店市高新区开门子肥业有限公司年产120万吨海藻科技生物肥二期项目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总建筑面积15.38万平方米，主要建设车间、氨酸或转股生产线、挤压工艺生产线、掺混生产线及其他辅助设施，年产海藻肥60万吨、水溶肥20万吨</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驻马店市高新区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7"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7</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长垣市有色合金新材料新产品智能化项目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总建筑面积20万平方米，主要建设厂房及附属设施，生产高炉风口系列、高炉冷却壁、高炉冷却板、板</w:t>
            </w:r>
            <w:r>
              <w:rPr>
                <w:rStyle w:val="10"/>
                <w:rFonts w:ascii="Times New Roman" w:hAnsi="Times New Roman" w:eastAsia="仿宋_GB2312" w:cs="仿宋_GB2312"/>
                <w:sz w:val="22"/>
                <w:szCs w:val="22"/>
                <w:lang w:val="en-US" w:eastAsia="zh-CN" w:bidi="ar"/>
              </w:rPr>
              <w:t>柸</w:t>
            </w:r>
            <w:r>
              <w:rPr>
                <w:rStyle w:val="11"/>
                <w:rFonts w:hint="eastAsia" w:ascii="Times New Roman" w:hAnsi="Times New Roman"/>
                <w:sz w:val="22"/>
                <w:szCs w:val="22"/>
                <w:lang w:val="en-US" w:eastAsia="zh-CN" w:bidi="ar"/>
              </w:rPr>
              <w:t>连铸结晶器铜板、铜及铜合金锻件等</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新乡市长垣市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3"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8</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许昌市禹州市鼎丰集团德国技术装备新型板材全产业链项目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总建筑面积15万平方米，主要建设标准化厂房、办公楼及年产50万立方米刨花板材自动化生产线</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许昌市禹州市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9</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新县大庙冲绿色节能环保建材产业园项目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总建筑面积10万平方米，主要建设建筑绿色节能环保建材产业园，年产新型环保建材500万吨</w:t>
            </w:r>
            <w:r>
              <w:rPr>
                <w:rStyle w:val="12"/>
                <w:rFonts w:hint="eastAsia" w:ascii="Times New Roman" w:hAnsi="Times New Roman" w:eastAsia="仿宋_GB2312" w:cs="仿宋_GB2312"/>
                <w:sz w:val="22"/>
                <w:szCs w:val="22"/>
                <w:lang w:val="en-US" w:eastAsia="zh-CN" w:bidi="ar"/>
              </w:rPr>
              <w:t xml:space="preserve">     </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信阳市新县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10</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许昌市长葛市河南金宏印业有限公司电化铝和复合纸项目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总建筑面积1.4万平方米，主要建设厂房，购置购置涂布机、全息压膜机、真空镀铝机、复膜机、复卷机等各类专业设备，年产10000吨的各类复合纸</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许昌市长葛市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11</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卢氏县中石考克(河南)钙基新材料项目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3.5万平方米，建设500万吨/年原料预处理生产线、100万吨/年高活性氧化钙生产线、20万吨/年高比表氢氧化钙生产线、5万吨/年纳米钙生产线、废渣利用生产线（200万吨建筑石料及机制砂项目），配套生产与办公生活等设施</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三门峡市卢氏县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12</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濮阳瑞丰新材料有限公司三聚四聚丙烯项目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总建筑面积6万平方米，主要建设年产10万吨三聚四聚丙烯生产装置及配套设施</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濮阳经济技术开发区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4"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13</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信阳市商城县中煦实业有限公司幕墙技术研发生产中心建设项目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总建筑面积8.4万平方米，主要建设幕墙技术研发中心、试验生产厂房、配套生活用房及配套设施等，设计年产10万平方米幕墙</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信阳市商城县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②装备</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5"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许昌市长葛市河南安合装备制造有限公司年产500万套（件）连接件项目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总建筑面积4万平方米，建设厂房、辅房、办公用房，购置立式锯床、普通车床、数控车床、加工中心等设备，年产500万套（件）连接件</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许昌市长葛市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2</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濮阳森鑫生物科技有限公司锂电池添加剂项目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总建筑面积1万平方米，主要建设8栋生产车间，年产锂电池3300吨</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濮阳市范县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③食品</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漯河市郾城区瑞和食品年产20万吨速冻食品项目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总建筑面积8万平方米，主要建设研发大楼、生产车间仓库及生产配套设施，主要产品为速冻食品、休闲肉制品</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漯河市郾城区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2</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确山县畜产品加工产业园建设一期项目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总建筑面积3.7万平方米，主要建设屠宰和分割车间、污水处理站、冷库、冷链物流、智能产品分检系统、办公楼及配套设施，年屠宰加工牛9万头、羊80万只</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驻马店市确山县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center"/>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3</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漯河经济技术开发区粮全其美预制食品生产项目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总建筑面积13万平方米，主要建设标准化厂房、研发中心、仓储中心及配套设施等，引进国外生产线16条，加工生产各类预制食品及饼干、面包、点心等休闲食品</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漯河市开发区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④轻纺</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42"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息县纺织服装产业园二期建设项目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总建筑面积88万平方米，主要建设标准化厂房、仓库，同时建设园区内道路硬化、场地铺装、绿化以及水、电等配套设施，新建道路5.2千米</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信阳市息县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93"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2</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邓州市佳泰纺织年产3亿米时尚高端面料项目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总建筑面积19.5万平方米，主要建设研发中心、生产车间、仓储物流区域、办公住宿等其他辅助设施；引进国内先进的化纤面料生产线，主要购置喷水织机、韩国大金整浆</w:t>
            </w:r>
            <w:r>
              <w:rPr>
                <w:rStyle w:val="10"/>
                <w:rFonts w:ascii="Times New Roman" w:hAnsi="Times New Roman" w:eastAsia="仿宋_GB2312" w:cs="仿宋_GB2312"/>
                <w:sz w:val="22"/>
                <w:szCs w:val="22"/>
                <w:lang w:val="en-US" w:eastAsia="zh-CN" w:bidi="ar"/>
              </w:rPr>
              <w:t>併</w:t>
            </w:r>
            <w:r>
              <w:rPr>
                <w:rStyle w:val="11"/>
                <w:rFonts w:hint="eastAsia" w:ascii="Times New Roman" w:hAnsi="Times New Roman"/>
                <w:sz w:val="22"/>
                <w:szCs w:val="22"/>
                <w:lang w:val="en-US" w:eastAsia="zh-CN" w:bidi="ar"/>
              </w:rPr>
              <w:t>等设备，年产3亿米时尚高端面料产能</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南阳市邓州市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9"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3</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淮滨县盛泽高新纺织产业园</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总建筑面积10万万平方米，主要建设标准化厂房，新上新型喷水织机2800台及其智能配套设备，年产坯布2亿米</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信阳市淮滨县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2"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4</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太康县南通现代纺织科技产业园</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总建筑面积24万平方米，主要建设标准化厂房、招商形象展示、产品展示、商务办公、产品检测中心、公共研发孵化平台、生活服务配套等功能区域，年产600万套(件)家纺生产线</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周口市太康县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6"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5</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扶沟县中增年产家纺1000万套建设项目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总建筑面积13.9万平方米，主要新建厂房、仓库、研发中心、综合楼及配套公共基础设施等，购置1000台50万锭织机，年产家纺1000万套</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周口市扶沟县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8"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6</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华美彩印有限责任公司武陟县华美智能化包装基地项目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总建筑面积约5万平方米，主要建设国际先进水平的现代化彩印包装生产车间、智能化包装工程技术研究中心、办公楼、综合楼及配套设施，建设年产6000万只包装盒项目</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焦作市武陟县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2、新兴产业</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①新一代信息技术</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1"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新型显示基地一期项目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约53万平方米，主要进行先进整机制造，面板模组模组（LCM)，显示技术的研发、检测线体；主要建设生产及辅助生产设施、动力设施、环保设施、安全设施、消防设施、管理设施、生活服务设施，新建设模组及整机生产线，包括28条多功能液晶电视生产线，年产2000万台（套）</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郑州航空港经济综合实验区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8"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2</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唐河艾礼富电子有限公司年产0.8亿支（套）高端智能传感器建设项目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总建筑面积70万平方米，主要建设标准化厂房、检测中心、仓库等配套设施，主要用于生产研发、整机生产及系统集成等各类智能传感器设备</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南阳市唐河县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3</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古荥智能制造产业园</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总建筑面积38.3万平方米，主要建设厂房、配套用房及场地硬化、绿化、道路建设等，拟招引新一代信息技术、双碳科技、无人机、物联网、精密装备等新兴产业企业入驻</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郑州市惠济区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8"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②高端装备</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86"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镇平县高端电子智造产业基地建设项目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总建筑面积38万平方米，主要建设标准化厂房、研发中心、仓储设施等，主要生产新型连接元件、新型光电元件、表面贴装生产设备、智能高低压电柜等电子信息设备及元器件</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南阳市镇平县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2</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新乡市卫滨投资有限公司新乡专精特新孵化园项目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16.6万平方米，主要建设15栋智能化生产标准厂房，配套仓储物流用房、综合办公楼、生产研发楼、服务中心等，计划引进河南坤宇无人机科技、奔腾电工设备、富益精密机械、河南娜斯嘉生物科技等高端装备制造企业和集聚相关产业企业（项目）50余家</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新乡市卫滨区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5"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3</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 xml:space="preserve">均和云谷.中牟高端装备制造科技港项目 </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 6.8万平方米，主要建设高端制造厂房、研发楼及配套楼；计划入驻高端装备制造，新一代信息技术、新能源新材料研发类企业20家</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郑州市中牟县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4</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河南大成精工有限公司年产30万吨高端装配式钢构智能一体化生产线建设项目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总建筑面积8万平方米，主要建设8条成套生产线、生产车间、办公用房等</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郑州市新密市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5"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5</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河南明阳智慧能源有限公司风光储高端智能制造项目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总建筑面积4.3万平方米，主要生产制造光伏逆变器、机舱罩、储能等产业</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信阳高新技术产业开发区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6</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郑州机械研究所高端装备制造产业园Ⅱ期项目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总建筑面积9.5万平方米，主要建设郑机所特焊、锻压、焊接装备综合产业园</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郑州高新技术产业开发区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③新材料</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河南汉丰碳纳米管导电剂项目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总建筑面积3.8万平方米，分两期建设，一期建设生产厂房、办公楼，二期建设研发楼、仓库等，年产碳纳米管导电剂13万吨</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濮阳市濮阳县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2</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鹤壁经济技术开发区镁基新材料和智能科技项目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总建筑面积10万平方米，主要建设工业厂房、产业孵化器、科研中心及道路、污水管网、绿化等配套设施</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鹤壁国家经济技术开发区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3</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玉隆新科技有限公司年产8000吨有机颜料中间体系列项目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总建筑面积1.02万平方米，分两期建设，一期建设5000吨对硝基苯甲酸；二期2000吨1-氨基</w:t>
            </w:r>
            <w:r>
              <w:rPr>
                <w:rStyle w:val="10"/>
                <w:rFonts w:ascii="Times New Roman" w:hAnsi="Times New Roman" w:eastAsia="仿宋_GB2312" w:cs="仿宋_GB2312"/>
                <w:sz w:val="22"/>
                <w:szCs w:val="22"/>
                <w:lang w:val="en-US" w:eastAsia="zh-CN" w:bidi="ar"/>
              </w:rPr>
              <w:t>蔥</w:t>
            </w:r>
            <w:r>
              <w:rPr>
                <w:rStyle w:val="11"/>
                <w:rFonts w:hint="eastAsia" w:ascii="Times New Roman" w:hAnsi="Times New Roman"/>
                <w:sz w:val="22"/>
                <w:szCs w:val="22"/>
                <w:lang w:val="en-US" w:eastAsia="zh-CN" w:bidi="ar"/>
              </w:rPr>
              <w:t>醌、1000吨红色基KD2个中间体车间、污水处理站、成品库1个、原辅材料仓库1个，固废危废仓库各1个，办公生活区1个</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三门峡市陕州区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④生物经济</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浚县产业区生物医药产业园项目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总建筑面积18.6万平方米，主要建设综合标准化厂房、办公楼及配套设施等，年产5万吨医疗器械</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鹤壁市浚县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6"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2</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哈三联灵宝生物制药项目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8.4万平方米，主要建设60吨位6台发酵罐的组件完善及相关配套的种子罐、补料罐、自动化控制系统的建设建设盐霉素干燥制粒生产线一条；完成菌种中心、各个功能室及仪器、设备、设施的建设，形成总发酵能力360吨的发酵生产线</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三门峡市灵宝市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3</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伯冠医疗产业园</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总建筑面积3.6万平方米，主要建设研发楼、试验楼、生产净化车间、仓库等，年产医用高分子产品800万支/套</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开封市兰考县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4</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河南天承磐升细胞科技有限公司细胞生物技术与转化医学产业总部基地</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主要建设磐升细胞药品研发及生产基地（其建设内容包含新建人类遗传资源组织库（干细胞库）、GMP细胞制备车间、化妆品车间、医疗器械生产车间等</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焦作市城乡一体化示范区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5</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郑州天健湖生命健康科技园（东区）</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总建筑面积约7.2万平方米，主要建设生命健康产业研发、生产、制造于一体的国际高端生命健康产业园</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郑州高新技术产业开发区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67" w:type="dxa"/>
            <w:tcBorders>
              <w:top w:val="nil"/>
              <w:left w:val="nil"/>
              <w:bottom w:val="nil"/>
              <w:right w:val="nil"/>
            </w:tcBorders>
            <w:vAlign w:val="top"/>
          </w:tcPr>
          <w:p>
            <w:pPr>
              <w:spacing w:after="238" w:afterLines="40" w:line="280" w:lineRule="exact"/>
              <w:jc w:val="center"/>
              <w:rPr>
                <w:rFonts w:hint="eastAsia" w:ascii="楷体_GB2312" w:hAnsi="楷体_GB2312" w:eastAsia="楷体_GB2312" w:cs="楷体_GB2312"/>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楷体_GB2312" w:hAnsi="楷体_GB2312" w:eastAsia="楷体_GB2312" w:cs="楷体_GB2312"/>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（二）现代服务业</w:t>
            </w:r>
          </w:p>
        </w:tc>
        <w:tc>
          <w:tcPr>
            <w:tcW w:w="240" w:type="dxa"/>
            <w:tcBorders>
              <w:top w:val="nil"/>
              <w:left w:val="nil"/>
              <w:bottom w:val="nil"/>
              <w:right w:val="nil"/>
            </w:tcBorders>
            <w:vAlign w:val="top"/>
          </w:tcPr>
          <w:p>
            <w:pPr>
              <w:spacing w:after="238" w:afterLines="40" w:line="280" w:lineRule="exact"/>
              <w:jc w:val="both"/>
              <w:rPr>
                <w:rFonts w:hint="eastAsia" w:ascii="楷体_GB2312" w:hAnsi="楷体_GB2312" w:eastAsia="楷体_GB2312" w:cs="楷体_GB2312"/>
                <w:i w:val="0"/>
                <w:color w:val="000000"/>
                <w:sz w:val="22"/>
                <w:szCs w:val="22"/>
                <w:u w:val="none"/>
              </w:rPr>
            </w:pPr>
          </w:p>
        </w:tc>
        <w:tc>
          <w:tcPr>
            <w:tcW w:w="1645" w:type="dxa"/>
            <w:tcBorders>
              <w:top w:val="nil"/>
              <w:left w:val="nil"/>
              <w:bottom w:val="nil"/>
              <w:right w:val="nil"/>
            </w:tcBorders>
            <w:vAlign w:val="top"/>
          </w:tcPr>
          <w:p>
            <w:pPr>
              <w:spacing w:after="238" w:afterLines="40" w:line="280" w:lineRule="exact"/>
              <w:jc w:val="both"/>
              <w:rPr>
                <w:rFonts w:hint="eastAsia" w:ascii="楷体_GB2312" w:hAnsi="楷体_GB2312" w:eastAsia="楷体_GB2312" w:cs="楷体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67" w:type="dxa"/>
            <w:tcBorders>
              <w:top w:val="nil"/>
              <w:left w:val="nil"/>
              <w:bottom w:val="nil"/>
              <w:right w:val="nil"/>
            </w:tcBorders>
            <w:vAlign w:val="top"/>
          </w:tcPr>
          <w:p>
            <w:pPr>
              <w:spacing w:after="238" w:afterLines="40" w:line="28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1、现代物流</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67" w:type="dxa"/>
            <w:tcBorders>
              <w:top w:val="nil"/>
              <w:left w:val="nil"/>
              <w:bottom w:val="nil"/>
              <w:right w:val="nil"/>
            </w:tcBorders>
            <w:vAlign w:val="top"/>
          </w:tcPr>
          <w:p>
            <w:pPr>
              <w:spacing w:after="238" w:afterLines="40" w:line="28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兰考国际陆港新城项目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主要建设铁路专用线、浅圆仓、进口木材堆场、卸货站台、铁路通讯设施及集装箱堆场、保税大厦及综合展厅等</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开封市兰考县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2</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郑州机场国际物流大通关基地（一期）建设项目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主要建设海关监管仓库、保税仓库、转运中心仓库、物流仓库、综合服务区等建安工程及土石方、场区道路、绿化、电力、消防、环保、照明、给排水等</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郑州航空港经济综合实验区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3</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郑州航空港区高铁多式联运项目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总建筑面积9.31万平方米，主要建设办公楼、电商中心、分拣中心、冷链仓库、配送中心等</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郑州航空港经济综合实验区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4</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河南星唯园区管理服务有限公司豫北智慧云仓物流园项目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总建筑面积7.5万平方米，主要建设仓库及智慧物流综合服务云平台，打造快递物流和电商物流</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新乡市经开区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67" w:type="dxa"/>
            <w:tcBorders>
              <w:top w:val="nil"/>
              <w:left w:val="nil"/>
              <w:bottom w:val="nil"/>
              <w:right w:val="nil"/>
            </w:tcBorders>
            <w:vAlign w:val="top"/>
          </w:tcPr>
          <w:p>
            <w:pPr>
              <w:spacing w:after="238" w:afterLines="40" w:line="28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2、文旅文创</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67" w:type="dxa"/>
            <w:tcBorders>
              <w:top w:val="nil"/>
              <w:left w:val="nil"/>
              <w:bottom w:val="nil"/>
              <w:right w:val="nil"/>
            </w:tcBorders>
            <w:vAlign w:val="top"/>
          </w:tcPr>
          <w:p>
            <w:pPr>
              <w:spacing w:after="238" w:afterLines="40" w:line="28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灵宝函谷关历史文化功能区一期建设项目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83万平方米，主要建设老子文化养生园二期工程，函关古道修复提升工程，开发“鸡鸣函谷”“古装旅行”等主题巡游，新建滑翔伞基地、东大门景观大道等；对站前广场、大远沟大桥、交通导流岛等景区基础设施进行改造提升</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三门峡市灵宝市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280" w:lineRule="exact"/>
              <w:jc w:val="center"/>
              <w:rPr>
                <w:rFonts w:hint="default" w:ascii="Times New Roman" w:hAnsi="Times New Roman" w:eastAsia="仿宋_GB2312" w:cs="仿宋_GB2312"/>
                <w:i w:val="0"/>
                <w:color w:val="000000"/>
                <w:sz w:val="22"/>
                <w:szCs w:val="22"/>
                <w:u w:val="none"/>
                <w:lang w:val="en"/>
              </w:rPr>
            </w:pPr>
            <w:r>
              <w:rPr>
                <w:rFonts w:hint="default" w:ascii="Times New Roman" w:hAnsi="Times New Roman" w:eastAsia="仿宋_GB2312" w:cs="仿宋_GB2312"/>
                <w:i w:val="0"/>
                <w:color w:val="000000"/>
                <w:sz w:val="22"/>
                <w:szCs w:val="22"/>
                <w:u w:val="none"/>
                <w:lang w:val="en"/>
              </w:rPr>
              <w:t>2</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平顶山湛河源生态产业园</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约20万平方米，其中一期建筑面积约12万平方米，主要包括湛河河道生态修复、湛河源莲花基地、高效富硒产业园、研学研读园、田园养老区等、二期建筑面积约8万平方米，包括余家大院红色旧址保护利用、古村落文化旅游、共享农庄、有机食品加工等</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平顶山市宝丰县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280" w:lineRule="exact"/>
              <w:jc w:val="center"/>
              <w:textAlignment w:val="top"/>
              <w:rPr>
                <w:rFonts w:hint="default" w:ascii="Times New Roman" w:hAnsi="Times New Roman" w:eastAsia="仿宋_GB2312" w:cs="仿宋_GB2312"/>
                <w:i w:val="0"/>
                <w:color w:val="000000"/>
                <w:sz w:val="22"/>
                <w:szCs w:val="22"/>
                <w:u w:val="none"/>
                <w:lang w:val="en"/>
              </w:rPr>
            </w:pPr>
            <w:r>
              <w:rPr>
                <w:rFonts w:hint="default" w:ascii="Times New Roman" w:hAnsi="Times New Roman" w:cs="仿宋_GB2312"/>
                <w:i w:val="0"/>
                <w:color w:val="000000"/>
                <w:kern w:val="0"/>
                <w:sz w:val="22"/>
                <w:szCs w:val="22"/>
                <w:u w:val="none"/>
                <w:lang w:val="en" w:eastAsia="zh-CN" w:bidi="ar"/>
              </w:rPr>
              <w:t>3</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丰乐森林温泉康养度假项目</w:t>
            </w:r>
          </w:p>
        </w:tc>
        <w:tc>
          <w:tcPr>
            <w:tcW w:w="222"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主要建设丰乐樱花谷温泉、汽房车露营地、温泉民宿、山地汽车运动公园、卡丁车体育露营地、森林养生谷、无动力游乐休闲设施等项目以及配套设施</w:t>
            </w:r>
          </w:p>
        </w:tc>
        <w:tc>
          <w:tcPr>
            <w:tcW w:w="240" w:type="dxa"/>
            <w:tcBorders>
              <w:top w:val="nil"/>
              <w:left w:val="nil"/>
              <w:bottom w:val="nil"/>
              <w:right w:val="nil"/>
            </w:tcBorders>
            <w:vAlign w:val="top"/>
          </w:tcPr>
          <w:p>
            <w:pPr>
              <w:spacing w:after="238" w:afterLines="40" w:line="28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28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郑州市惠济区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楷体_GB2312" w:hAnsi="楷体_GB2312" w:eastAsia="楷体_GB2312" w:cs="楷体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（三）现代农业</w:t>
            </w:r>
          </w:p>
        </w:tc>
        <w:tc>
          <w:tcPr>
            <w:tcW w:w="240"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0" w:afterLines="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w:t>
            </w:r>
          </w:p>
        </w:tc>
        <w:tc>
          <w:tcPr>
            <w:tcW w:w="240" w:type="dxa"/>
            <w:tcBorders>
              <w:top w:val="nil"/>
              <w:left w:val="nil"/>
              <w:bottom w:val="nil"/>
              <w:right w:val="nil"/>
            </w:tcBorders>
            <w:vAlign w:val="top"/>
          </w:tcPr>
          <w:p>
            <w:pPr>
              <w:spacing w:after="0" w:afterLines="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0" w:afterLines="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息县5万头优质肉牛全产业链体系建设项目</w:t>
            </w:r>
          </w:p>
        </w:tc>
        <w:tc>
          <w:tcPr>
            <w:tcW w:w="222" w:type="dxa"/>
            <w:tcBorders>
              <w:top w:val="nil"/>
              <w:left w:val="nil"/>
              <w:bottom w:val="nil"/>
              <w:right w:val="nil"/>
            </w:tcBorders>
            <w:vAlign w:val="top"/>
          </w:tcPr>
          <w:p>
            <w:pPr>
              <w:spacing w:after="0" w:afterLines="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0" w:afterLines="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50万平方米，主要建设肉牛屠宰加工基地，畜牧饲料、疾病防控等综合配套服务中心，牛舍、粗饲料加工车间、牛粪有机肥加工车间、精料加工车间、综合楼、青贮池、检测检疫和兽医研发室养殖基地等</w:t>
            </w:r>
          </w:p>
        </w:tc>
        <w:tc>
          <w:tcPr>
            <w:tcW w:w="240" w:type="dxa"/>
            <w:tcBorders>
              <w:top w:val="nil"/>
              <w:left w:val="nil"/>
              <w:bottom w:val="nil"/>
              <w:right w:val="nil"/>
            </w:tcBorders>
            <w:vAlign w:val="top"/>
          </w:tcPr>
          <w:p>
            <w:pPr>
              <w:spacing w:after="0" w:afterLines="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0" w:afterLines="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信阳市息县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2</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河南中农牧业发展有限公司睢阳区肉牛养殖全产业链集群建设项目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总建筑面积45万平方米，主要建设包含饲料加工厂、母牛繁育基地建设、肉牛育肥基地建设、屠宰分割工厂、冷链存储物流、肉牛交易市场等，年存栏肉牛5万头，年出栏2.5万头优质肉牛</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商丘市睢阳区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黑体" w:hAnsi="黑体" w:eastAsia="黑体" w:cs="黑体"/>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黑体" w:hAnsi="黑体" w:eastAsia="黑体" w:cs="黑体"/>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四、绿色低碳转型项目</w:t>
            </w:r>
          </w:p>
        </w:tc>
        <w:tc>
          <w:tcPr>
            <w:tcW w:w="240" w:type="dxa"/>
            <w:tcBorders>
              <w:top w:val="nil"/>
              <w:left w:val="nil"/>
              <w:bottom w:val="nil"/>
              <w:right w:val="nil"/>
            </w:tcBorders>
            <w:vAlign w:val="top"/>
          </w:tcPr>
          <w:p>
            <w:pPr>
              <w:spacing w:after="238" w:afterLines="40" w:line="300" w:lineRule="exact"/>
              <w:jc w:val="both"/>
              <w:rPr>
                <w:rFonts w:hint="eastAsia" w:ascii="黑体" w:hAnsi="黑体" w:eastAsia="黑体" w:cs="黑体"/>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黑体" w:hAnsi="黑体" w:eastAsia="黑体" w:cs="黑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楷体_GB2312" w:hAnsi="楷体_GB2312" w:eastAsia="楷体_GB2312" w:cs="楷体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（一）节能降碳</w:t>
            </w:r>
          </w:p>
        </w:tc>
        <w:tc>
          <w:tcPr>
            <w:tcW w:w="240"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1</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安阳市钢铁行业整合重组沙钢永兴绿色智能化工厂项目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新建1座机械化原料场、1座400m2烧结、2座1410m3高炉、2条50万吨高速线材、2套三万空分装置、1座600吨石灰窑、1条60万吨的水渣微粉生产线、1条30万吨钢渣生产线、2台50MW煤气发电机组等，适时对炼钢系统升级改造</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安阳市殷都区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2</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新乡广硕化工有限公司甲醇装置驰放气碳综合利用节能减排项目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总建筑面积2万平方米，主要建设厂房、仓库、气体处理罐区、管道铺设网等，资源化利用废气合成甲烷，并深冷分离生产LNG、CNG产品，年产5万吨LNG或CNG、20万吨二甲醚、10万吨乙酸甲酯</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新乡市获嘉县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黑体" w:hAnsi="黑体" w:eastAsia="黑体" w:cs="黑体"/>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黑体" w:hAnsi="黑体" w:eastAsia="黑体" w:cs="黑体"/>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五、民生和社会事业改善项目</w:t>
            </w:r>
          </w:p>
        </w:tc>
        <w:tc>
          <w:tcPr>
            <w:tcW w:w="240" w:type="dxa"/>
            <w:tcBorders>
              <w:top w:val="nil"/>
              <w:left w:val="nil"/>
              <w:bottom w:val="nil"/>
              <w:right w:val="nil"/>
            </w:tcBorders>
            <w:vAlign w:val="top"/>
          </w:tcPr>
          <w:p>
            <w:pPr>
              <w:spacing w:after="238" w:afterLines="40" w:line="300" w:lineRule="exact"/>
              <w:jc w:val="both"/>
              <w:rPr>
                <w:rFonts w:hint="eastAsia" w:ascii="黑体" w:hAnsi="黑体" w:eastAsia="黑体" w:cs="黑体"/>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楷体_GB2312" w:hAnsi="楷体_GB2312" w:eastAsia="楷体_GB2312" w:cs="楷体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i w:val="0"/>
                <w:color w:val="000000"/>
                <w:sz w:val="22"/>
                <w:szCs w:val="22"/>
                <w:u w:val="none"/>
              </w:rPr>
            </w:pPr>
          </w:p>
        </w:tc>
        <w:tc>
          <w:tcPr>
            <w:tcW w:w="6054" w:type="dxa"/>
            <w:gridSpan w:val="3"/>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（一）公共服务</w:t>
            </w:r>
          </w:p>
        </w:tc>
        <w:tc>
          <w:tcPr>
            <w:tcW w:w="240"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楷体_GB2312" w:hAnsi="楷体_GB2312" w:eastAsia="楷体_GB2312" w:cs="楷体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spacing w:after="238" w:afterLines="40" w:line="300" w:lineRule="exact"/>
              <w:jc w:val="center"/>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开工项目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767" w:type="dxa"/>
            <w:tcBorders>
              <w:top w:val="nil"/>
              <w:left w:val="nil"/>
              <w:bottom w:val="nil"/>
              <w:right w:val="nil"/>
            </w:tcBorders>
            <w:vAlign w:val="top"/>
          </w:tcPr>
          <w:p>
            <w:pPr>
              <w:keepNext w:val="0"/>
              <w:keepLines w:val="0"/>
              <w:widowControl/>
              <w:suppressLineNumbers w:val="0"/>
              <w:spacing w:after="238" w:afterLines="40" w:line="300" w:lineRule="exact"/>
              <w:jc w:val="center"/>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822"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省区域保密技术保障中心（保密项目）</w:t>
            </w:r>
          </w:p>
        </w:tc>
        <w:tc>
          <w:tcPr>
            <w:tcW w:w="222"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4010" w:type="dxa"/>
            <w:tcBorders>
              <w:top w:val="nil"/>
              <w:left w:val="nil"/>
              <w:bottom w:val="nil"/>
              <w:right w:val="nil"/>
            </w:tcBorders>
            <w:vAlign w:val="top"/>
          </w:tcPr>
          <w:p>
            <w:pPr>
              <w:keepNext w:val="0"/>
              <w:keepLines w:val="0"/>
              <w:widowControl/>
              <w:suppressLineNumbers w:val="0"/>
              <w:spacing w:after="238" w:afterLines="40" w:line="300" w:lineRule="exact"/>
              <w:jc w:val="both"/>
              <w:textAlignment w:val="top"/>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kern w:val="0"/>
                <w:sz w:val="22"/>
                <w:szCs w:val="22"/>
                <w:u w:val="none"/>
                <w:lang w:val="en-US" w:eastAsia="zh-CN" w:bidi="ar"/>
              </w:rPr>
              <w:t>主要包含洛阳区域保密技术保障中心、安阳区域保密技术保障中心、商丘区域保密技术保障中心、信阳区域保密技术保障中心4个子项</w:t>
            </w:r>
          </w:p>
        </w:tc>
        <w:tc>
          <w:tcPr>
            <w:tcW w:w="240"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c>
          <w:tcPr>
            <w:tcW w:w="1645" w:type="dxa"/>
            <w:tcBorders>
              <w:top w:val="nil"/>
              <w:left w:val="nil"/>
              <w:bottom w:val="nil"/>
              <w:right w:val="nil"/>
            </w:tcBorders>
            <w:vAlign w:val="top"/>
          </w:tcPr>
          <w:p>
            <w:pPr>
              <w:spacing w:after="238" w:afterLines="40" w:line="300" w:lineRule="exact"/>
              <w:jc w:val="both"/>
              <w:rPr>
                <w:rFonts w:hint="eastAsia" w:ascii="Times New Roman" w:hAnsi="Times New Roman" w:eastAsia="仿宋_GB2312" w:cs="仿宋_GB2312"/>
                <w:i w:val="0"/>
                <w:color w:val="000000"/>
                <w:sz w:val="22"/>
                <w:szCs w:val="22"/>
                <w:u w:val="none"/>
              </w:rPr>
            </w:pPr>
          </w:p>
        </w:tc>
      </w:tr>
    </w:tbl>
    <w:p>
      <w:pPr>
        <w:tabs>
          <w:tab w:val="left" w:pos="769"/>
          <w:tab w:val="left" w:pos="1009"/>
          <w:tab w:val="left" w:pos="7235"/>
          <w:tab w:val="left" w:pos="7457"/>
        </w:tabs>
        <w:spacing w:after="120" w:afterLines="20" w:line="300" w:lineRule="exact"/>
        <w:jc w:val="both"/>
        <w:rPr>
          <w:rFonts w:hint="eastAsia" w:ascii="Times New Roman" w:hAnsi="Times New Roman" w:eastAsia="仿宋_GB2312" w:cs="仿宋_GB2312"/>
          <w:i w:val="0"/>
          <w:color w:val="000000"/>
          <w:sz w:val="22"/>
          <w:szCs w:val="22"/>
          <w:u w:val="none"/>
        </w:rPr>
      </w:pPr>
      <w:r>
        <w:rPr>
          <w:rFonts w:hint="eastAsia" w:ascii="Times New Roman" w:hAnsi="Times New Roman" w:eastAsia="仿宋_GB2312" w:cs="仿宋_GB2312"/>
          <w:i w:val="0"/>
          <w:color w:val="000000"/>
          <w:sz w:val="22"/>
          <w:szCs w:val="22"/>
          <w:u w:val="none"/>
        </w:rPr>
        <w:tab/>
      </w:r>
      <w:r>
        <w:rPr>
          <w:rFonts w:hint="eastAsia" w:ascii="Times New Roman" w:hAnsi="Times New Roman" w:eastAsia="仿宋_GB2312" w:cs="仿宋_GB2312"/>
          <w:i w:val="0"/>
          <w:color w:val="000000"/>
          <w:sz w:val="22"/>
          <w:szCs w:val="22"/>
          <w:u w:val="none"/>
        </w:rPr>
        <w:tab/>
      </w:r>
      <w:r>
        <w:rPr>
          <w:rFonts w:hint="eastAsia" w:ascii="Times New Roman" w:hAnsi="Times New Roman" w:eastAsia="仿宋_GB2312" w:cs="仿宋_GB2312"/>
          <w:i w:val="0"/>
          <w:color w:val="000000"/>
          <w:kern w:val="0"/>
          <w:sz w:val="22"/>
          <w:szCs w:val="22"/>
          <w:u w:val="none"/>
          <w:lang w:val="en-US" w:eastAsia="zh-CN" w:bidi="ar"/>
        </w:rPr>
        <w:t>注：带*号项目为打捆子项，不计入项目总数</w:t>
      </w:r>
    </w:p>
    <w:p>
      <w:pPr>
        <w:spacing w:line="240" w:lineRule="auto"/>
        <w:textAlignment w:val="top"/>
        <w:rPr>
          <w:rFonts w:hint="default" w:ascii="Times New Roman" w:hAnsi="Times New Roman" w:eastAsia="黑体" w:cs="Times New Roman"/>
          <w:i w:val="0"/>
          <w:color w:val="000000"/>
          <w:sz w:val="32"/>
          <w:szCs w:val="32"/>
          <w:u w:val="none"/>
          <w:lang w:val="en"/>
        </w:rPr>
      </w:pPr>
      <w:r>
        <w:rPr>
          <w:rFonts w:hint="eastAsia" w:ascii="仿宋_GB2312"/>
          <w:sz w:val="32"/>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40001" w:csb1="00000000"/>
  </w:font>
  <w:font w:name="文星仿宋">
    <w:altName w:val="仿宋"/>
    <w:panose1 w:val="02010609000101010101"/>
    <w:charset w:val="86"/>
    <w:family w:val="modern"/>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C0984"/>
    <w:rsid w:val="5C2C09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font81"/>
    <w:basedOn w:val="3"/>
    <w:uiPriority w:val="0"/>
    <w:rPr>
      <w:rFonts w:hint="default" w:ascii="Times New Roman" w:hAnsi="Times New Roman" w:cs="Times New Roman"/>
      <w:color w:val="000000"/>
      <w:sz w:val="32"/>
      <w:szCs w:val="32"/>
      <w:u w:val="none"/>
    </w:rPr>
  </w:style>
  <w:style w:type="character" w:customStyle="1" w:styleId="6">
    <w:name w:val="font151"/>
    <w:basedOn w:val="3"/>
    <w:uiPriority w:val="0"/>
    <w:rPr>
      <w:rFonts w:hint="default" w:ascii="Times New Roman" w:hAnsi="Times New Roman" w:cs="Times New Roman"/>
      <w:color w:val="000000"/>
      <w:sz w:val="44"/>
      <w:szCs w:val="44"/>
      <w:u w:val="none"/>
    </w:rPr>
  </w:style>
  <w:style w:type="character" w:customStyle="1" w:styleId="7">
    <w:name w:val="font101"/>
    <w:basedOn w:val="3"/>
    <w:uiPriority w:val="0"/>
    <w:rPr>
      <w:rFonts w:hint="eastAsia" w:ascii="方正小标宋简体" w:hAnsi="方正小标宋简体" w:eastAsia="方正小标宋简体" w:cs="方正小标宋简体"/>
      <w:color w:val="000000"/>
      <w:sz w:val="44"/>
      <w:szCs w:val="44"/>
      <w:u w:val="none"/>
    </w:rPr>
  </w:style>
  <w:style w:type="character" w:customStyle="1" w:styleId="8">
    <w:name w:val="font11"/>
    <w:basedOn w:val="3"/>
    <w:uiPriority w:val="0"/>
    <w:rPr>
      <w:rFonts w:ascii="黑体" w:hAnsi="宋体" w:eastAsia="黑体" w:cs="黑体"/>
      <w:color w:val="000000"/>
      <w:sz w:val="24"/>
      <w:szCs w:val="24"/>
      <w:u w:val="none"/>
    </w:rPr>
  </w:style>
  <w:style w:type="character" w:customStyle="1" w:styleId="9">
    <w:name w:val="font61"/>
    <w:basedOn w:val="3"/>
    <w:uiPriority w:val="0"/>
    <w:rPr>
      <w:rFonts w:hint="default" w:ascii="Times New Roman" w:hAnsi="Times New Roman" w:cs="Times New Roman"/>
      <w:color w:val="000000"/>
      <w:sz w:val="24"/>
      <w:szCs w:val="24"/>
      <w:u w:val="none"/>
    </w:rPr>
  </w:style>
  <w:style w:type="character" w:customStyle="1" w:styleId="10">
    <w:name w:val="font21"/>
    <w:basedOn w:val="3"/>
    <w:uiPriority w:val="0"/>
    <w:rPr>
      <w:rFonts w:hint="eastAsia" w:ascii="宋体" w:hAnsi="宋体" w:eastAsia="宋体" w:cs="宋体"/>
      <w:color w:val="000000"/>
      <w:sz w:val="24"/>
      <w:szCs w:val="24"/>
      <w:u w:val="none"/>
    </w:rPr>
  </w:style>
  <w:style w:type="character" w:customStyle="1" w:styleId="11">
    <w:name w:val="font121"/>
    <w:basedOn w:val="3"/>
    <w:uiPriority w:val="0"/>
    <w:rPr>
      <w:rFonts w:hint="default" w:ascii="仿宋_GB2312" w:eastAsia="仿宋_GB2312" w:cs="仿宋_GB2312"/>
      <w:color w:val="000000"/>
      <w:sz w:val="24"/>
      <w:szCs w:val="24"/>
      <w:u w:val="none"/>
    </w:rPr>
  </w:style>
  <w:style w:type="character" w:customStyle="1" w:styleId="12">
    <w:name w:val="font51"/>
    <w:basedOn w:val="3"/>
    <w:uiPriority w:val="0"/>
    <w:rPr>
      <w:rFonts w:ascii="Arial" w:hAnsi="Arial" w:cs="Arial"/>
      <w:color w:val="000000"/>
      <w:sz w:val="24"/>
      <w:szCs w:val="24"/>
      <w:u w:val="none"/>
    </w:rPr>
  </w:style>
  <w:style w:type="character" w:customStyle="1" w:styleId="13">
    <w:name w:val="font41"/>
    <w:basedOn w:val="3"/>
    <w:uiPriority w:val="0"/>
    <w:rPr>
      <w:rFonts w:hint="default" w:ascii="仿宋_GB2312" w:eastAsia="仿宋_GB2312" w:cs="仿宋_GB2312"/>
      <w:b/>
      <w:color w:val="000000"/>
      <w:sz w:val="24"/>
      <w:szCs w:val="24"/>
      <w:u w:val="none"/>
    </w:rPr>
  </w:style>
  <w:style w:type="character" w:customStyle="1" w:styleId="14">
    <w:name w:val="font01"/>
    <w:basedOn w:val="3"/>
    <w:uiPriority w:val="0"/>
    <w:rPr>
      <w:rFonts w:hint="default" w:ascii="Times New Roman" w:hAnsi="Times New Roman" w:cs="Times New Roman"/>
      <w:b/>
      <w:color w:val="000000"/>
      <w:sz w:val="24"/>
      <w:szCs w:val="24"/>
      <w:u w:val="none"/>
    </w:rPr>
  </w:style>
  <w:style w:type="character" w:customStyle="1" w:styleId="15">
    <w:name w:val="font9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2023-11-16T01:22:00Z</dcterms:created>
  <dc:creator>系统管理员</dc:creator>
  <cp:lastModifiedBy>系统管理员</cp:lastModifiedBy>
  <dcterms:modified xsi:type="dcterms:W3CDTF">2023-11-16T01:24:40Z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