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</w:t>
      </w:r>
      <w:bookmarkStart w:id="1" w:name="_GoBack"/>
      <w:bookmarkEnd w:id="1"/>
      <w:r>
        <w:rPr>
          <w:rFonts w:hint="eastAsia" w:ascii="黑体" w:eastAsia="黑体" w:cs="黑体"/>
          <w:b/>
          <w:bCs/>
          <w:sz w:val="44"/>
          <w:szCs w:val="44"/>
        </w:rPr>
        <w:t>公司非尺螺纹钢销售公告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非尺螺纹钢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项目名称：非尺螺纹钢销售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非尺螺纹钢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350吨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、汽运，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087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6080" w:firstLineChars="1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napToGrid w:val="0"/>
        <w:spacing w:line="360" w:lineRule="auto"/>
        <w:ind w:right="420" w:firstLine="3520" w:firstLineChars="11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3520" w:firstLineChars="11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801"/>
        <w:gridCol w:w="1166"/>
        <w:gridCol w:w="1705"/>
        <w:gridCol w:w="2102"/>
      </w:tblGrid>
      <w:tr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HRB400E/HRB500E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Φ28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Φ32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350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/到站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：                    (以上到港船板价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/到站车板价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、以上报价为含税全现款价格到港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/到站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087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：张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</w:docVars>
  <w:rsids>
    <w:rsidRoot w:val="69BC5E97"/>
    <w:rsid w:val="0168732D"/>
    <w:rsid w:val="06EE1E92"/>
    <w:rsid w:val="07135CA6"/>
    <w:rsid w:val="08A02198"/>
    <w:rsid w:val="0BF13DCF"/>
    <w:rsid w:val="0C826786"/>
    <w:rsid w:val="0F335553"/>
    <w:rsid w:val="11C96BA0"/>
    <w:rsid w:val="149A7B6D"/>
    <w:rsid w:val="162760D4"/>
    <w:rsid w:val="191E52C7"/>
    <w:rsid w:val="23A87507"/>
    <w:rsid w:val="23FA1B4B"/>
    <w:rsid w:val="2AAB2DBA"/>
    <w:rsid w:val="2D9A48B4"/>
    <w:rsid w:val="2F455AF8"/>
    <w:rsid w:val="34B63DCB"/>
    <w:rsid w:val="35F70D62"/>
    <w:rsid w:val="399A3480"/>
    <w:rsid w:val="4E161B90"/>
    <w:rsid w:val="4F577780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0DB2845"/>
    <w:rsid w:val="75835F84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893</Characters>
  <Lines>0</Lines>
  <Paragraphs>0</Paragraphs>
  <TotalTime>1</TotalTime>
  <ScaleCrop>false</ScaleCrop>
  <LinksUpToDate>false</LinksUpToDate>
  <CharactersWithSpaces>1062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2023-12-04T03:16:23Z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326EC6FABA2C494F99C17ABC67065EF3_13</vt:lpwstr>
  </property>
</Properties>
</file>