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i/>
          <w:iCs/>
          <w:smallCaps/>
          <w:color w:val="1F497D" w:themeColor="text2"/>
          <w:spacing w:val="5"/>
          <w:szCs w:val="24"/>
          <w14:textFill>
            <w14:solidFill>
              <w14:schemeClr w14:val="tx2"/>
            </w14:solidFill>
          </w14:textFill>
        </w:rPr>
        <w:id w:val="-689369987"/>
      </w:sdtPr>
      <w:sdtEndPr>
        <w:rPr>
          <w:i/>
          <w:iCs/>
          <w:smallCaps/>
          <w:color w:val="1F497D" w:themeColor="text2"/>
          <w:spacing w:val="5"/>
          <w:szCs w:val="24"/>
          <w14:textFill>
            <w14:solidFill>
              <w14:schemeClr w14:val="tx2"/>
            </w14:solidFill>
          </w14:textFill>
        </w:rPr>
      </w:sdtEndPr>
      <w:sdtContent>
        <w:p>
          <w:pPr>
            <w:ind w:firstLine="480"/>
          </w:pPr>
          <w:bookmarkStart w:id="0" w:name="_Toc66351473"/>
          <w:bookmarkStart w:id="1" w:name="_Toc66353040"/>
          <w:bookmarkStart w:id="2" w:name="_Toc66351509"/>
          <w:bookmarkStart w:id="3" w:name="_Toc66356425"/>
          <w:bookmarkStart w:id="4" w:name="_Toc57975283"/>
          <w:r>
            <w:rPr>
              <w:i/>
              <w:iCs/>
              <w:smallCaps/>
              <w:color w:val="1F497D" w:themeColor="text2"/>
              <w:spacing w:val="5"/>
              <w:szCs w:val="24"/>
              <w14:textFill>
                <w14:solidFill>
                  <w14:schemeClr w14:val="tx2"/>
                </w14:solidFill>
              </w14:textFill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-743585</wp:posOffset>
                </wp:positionV>
                <wp:extent cx="7148195" cy="10111105"/>
                <wp:effectExtent l="0" t="0" r="14605" b="4445"/>
                <wp:wrapNone/>
                <wp:docPr id="1" name="图片 1" descr="F:\1设计素材\Word封面\323.png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F:\1设计素材\Word封面\323.png323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8195" cy="10111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i/>
              <w:iCs/>
              <w:smallCaps/>
              <w:color w:val="1F497D" w:themeColor="text2"/>
              <w:spacing w:val="5"/>
              <w:szCs w:val="24"/>
              <w14:textFill>
                <w14:solidFill>
                  <w14:schemeClr w14:val="tx2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margin">
                      <wp:posOffset>-879475</wp:posOffset>
                    </wp:positionH>
                    <wp:positionV relativeFrom="page">
                      <wp:posOffset>608330</wp:posOffset>
                    </wp:positionV>
                    <wp:extent cx="3952240" cy="2438400"/>
                    <wp:effectExtent l="0" t="0" r="0" b="0"/>
                    <wp:wrapNone/>
                    <wp:docPr id="73" name="矩形 8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52240" cy="243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before="120" w:after="120" w:line="240" w:lineRule="auto"/>
                                  <w:ind w:firstLine="0" w:firstLineChars="0"/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023985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80"/>
                                    <w:szCs w:val="80"/>
                                    <w:lang w:val="en-US" w:eastAsia="zh-CN"/>
                                  </w:rPr>
                                  <w:t>氨基酸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80"/>
                                    <w:szCs w:val="80"/>
                                  </w:rPr>
                                  <w:t>市场</w:t>
                                </w:r>
                              </w:p>
                              <w:p>
                                <w:pPr>
                                  <w:spacing w:line="240" w:lineRule="auto"/>
                                  <w:ind w:firstLine="0" w:firstLineChars="0"/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023985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80"/>
                                    <w:szCs w:val="80"/>
                                    <w:lang w:val="en-US" w:eastAsia="zh-CN"/>
                                  </w:rPr>
                                  <w:t>月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80"/>
                                    <w:szCs w:val="80"/>
                                  </w:rPr>
                                  <w:t>度报告</w:t>
                                </w:r>
                              </w:p>
                              <w:p>
                                <w:pPr>
                                  <w:spacing w:line="240" w:lineRule="auto"/>
                                  <w:ind w:firstLine="0" w:firstLineChars="0"/>
                                  <w:rPr>
                                    <w:rFonts w:ascii="微软雅黑" w:hAnsi="微软雅黑" w:eastAsia="微软雅黑" w:cstheme="majorBidi"/>
                                    <w:b/>
                                    <w:color w:val="023985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023985"/>
                                    <w:sz w:val="28"/>
                                    <w:szCs w:val="28"/>
                                  </w:rPr>
                                  <w:t>2022年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28"/>
                                    <w:szCs w:val="28"/>
                                    <w:lang w:val="en-US" w:eastAsia="zh-CN"/>
                                  </w:rPr>
                                  <w:t>12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023985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023985"/>
                                    <w:sz w:val="28"/>
                                    <w:szCs w:val="28"/>
                                  </w:rPr>
                                  <w:t>）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ind w:firstLine="0" w:firstLineChars="0"/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0C8A67"/>
                                    <w:sz w:val="80"/>
                                    <w:szCs w:val="80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ind w:firstLine="0" w:firstLineChars="0"/>
                                  <w:rPr>
                                    <w:rFonts w:ascii="微软雅黑" w:hAnsi="微软雅黑" w:eastAsia="微软雅黑" w:cstheme="majorBidi"/>
                                    <w:b/>
                                    <w:color w:val="00800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ajorBidi"/>
                                    <w:b/>
                                    <w:color w:val="008000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pacing w:line="240" w:lineRule="auto"/>
                                  <w:ind w:firstLine="560"/>
                                  <w:rPr>
                                    <w:i/>
                                    <w:iCs/>
                                    <w:color w:val="632523" w:themeColor="accent2" w:themeShade="80"/>
                                    <w:sz w:val="28"/>
                                    <w:szCs w:val="28"/>
                                  </w:rPr>
                                </w:pPr>
                              </w:p>
                              <w:p>
                                <w:pPr>
                                  <w:spacing w:line="240" w:lineRule="auto"/>
                                  <w:ind w:firstLine="48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矩形 89" o:spid="_x0000_s1026" o:spt="1" style="position:absolute;left:0pt;margin-left:-69.25pt;margin-top:47.9pt;height:192pt;width:311.2pt;mso-position-horizontal-relative:margin;mso-position-vertical-relative:page;z-index:251661312;v-text-anchor:middle;mso-width-relative:page;mso-height-relative:page;" filled="f" stroked="f" coordsize="21600,21600" o:allowincell="f" o:gfxdata="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lJLodcAAAALAQAADwAAAAAAAAAB&#10;ACAAAAAiAAAAZHJzL2Rvd25yZXYueG1sUEsBAhQAFAAAAAgAh07iQLMWpv4RAgAADQQAAA4AAAAA&#10;AAAAAQAgAAAAJgEAAGRycy9lMm9Eb2MueG1sUEsFBgAAAAAGAAYAWQEAAKkF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spacing w:before="120" w:after="120" w:line="240" w:lineRule="auto"/>
                            <w:ind w:firstLine="0" w:firstLineChars="0"/>
                            <w:rPr>
                              <w:rFonts w:ascii="微软雅黑" w:hAnsi="微软雅黑" w:eastAsia="微软雅黑"/>
                              <w:b/>
                              <w:bCs/>
                              <w:color w:val="023985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80"/>
                              <w:szCs w:val="80"/>
                              <w:lang w:val="en-US" w:eastAsia="zh-CN"/>
                            </w:rPr>
                            <w:t>氨基酸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80"/>
                              <w:szCs w:val="80"/>
                            </w:rPr>
                            <w:t>市场</w:t>
                          </w:r>
                        </w:p>
                        <w:p>
                          <w:pPr>
                            <w:spacing w:line="240" w:lineRule="auto"/>
                            <w:ind w:firstLine="0" w:firstLineChars="0"/>
                            <w:rPr>
                              <w:rFonts w:ascii="微软雅黑" w:hAnsi="微软雅黑" w:eastAsia="微软雅黑"/>
                              <w:b/>
                              <w:bCs/>
                              <w:color w:val="023985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80"/>
                              <w:szCs w:val="80"/>
                              <w:lang w:val="en-US" w:eastAsia="zh-CN"/>
                            </w:rPr>
                            <w:t>月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80"/>
                              <w:szCs w:val="80"/>
                            </w:rPr>
                            <w:t>度报告</w:t>
                          </w:r>
                        </w:p>
                        <w:p>
                          <w:pPr>
                            <w:spacing w:line="240" w:lineRule="auto"/>
                            <w:ind w:firstLine="0" w:firstLineChars="0"/>
                            <w:rPr>
                              <w:rFonts w:ascii="微软雅黑" w:hAnsi="微软雅黑" w:eastAsia="微软雅黑" w:cstheme="majorBidi"/>
                              <w:b/>
                              <w:color w:val="023985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28"/>
                              <w:szCs w:val="28"/>
                            </w:rPr>
                            <w:t>（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023985"/>
                              <w:sz w:val="28"/>
                              <w:szCs w:val="28"/>
                            </w:rPr>
                            <w:t>2022年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28"/>
                              <w:szCs w:val="28"/>
                              <w:lang w:val="en-US" w:eastAsia="zh-CN"/>
                            </w:rPr>
                            <w:t>12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023985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023985"/>
                              <w:sz w:val="28"/>
                              <w:szCs w:val="28"/>
                            </w:rPr>
                            <w:t>）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40" w:lineRule="auto"/>
                            <w:ind w:firstLine="0" w:firstLineChars="0"/>
                            <w:rPr>
                              <w:rFonts w:ascii="微软雅黑" w:hAnsi="微软雅黑" w:eastAsia="微软雅黑"/>
                              <w:b/>
                              <w:bCs/>
                              <w:color w:val="0C8A67"/>
                              <w:sz w:val="80"/>
                              <w:szCs w:val="80"/>
                            </w:rPr>
                          </w:pPr>
                        </w:p>
                        <w:p>
                          <w:pPr>
                            <w:spacing w:line="240" w:lineRule="auto"/>
                            <w:ind w:firstLine="0" w:firstLineChars="0"/>
                            <w:rPr>
                              <w:rFonts w:ascii="微软雅黑" w:hAnsi="微软雅黑" w:eastAsia="微软雅黑" w:cstheme="majorBidi"/>
                              <w:b/>
                              <w:color w:val="0080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ajorBidi"/>
                              <w:b/>
                              <w:color w:val="008000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>
                          <w:pPr>
                            <w:spacing w:line="240" w:lineRule="auto"/>
                            <w:ind w:firstLine="560"/>
                            <w:rPr>
                              <w:i/>
                              <w:iCs/>
                              <w:color w:val="632523" w:themeColor="accent2" w:themeShade="80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spacing w:line="240" w:lineRule="auto"/>
                            <w:ind w:firstLine="480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i/>
              <w:iCs/>
              <w:smallCaps/>
              <w:color w:val="1F497D" w:themeColor="text2"/>
              <w:spacing w:val="5"/>
              <w:szCs w:val="24"/>
              <w14:textFill>
                <w14:solidFill>
                  <w14:schemeClr w14:val="tx2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column">
                      <wp:posOffset>925830</wp:posOffset>
                    </wp:positionH>
                    <wp:positionV relativeFrom="paragraph">
                      <wp:posOffset>7306945</wp:posOffset>
                    </wp:positionV>
                    <wp:extent cx="3176270" cy="962025"/>
                    <wp:effectExtent l="0" t="0" r="0" b="0"/>
                    <wp:wrapNone/>
                    <wp:docPr id="5" name="文本框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76270" cy="962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ind w:firstLine="0" w:firstLineChars="0"/>
                                  <w:jc w:val="both"/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编辑：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陈荣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ind w:firstLine="0" w:firstLineChars="0"/>
                                  <w:jc w:val="both"/>
                                  <w:rPr>
                                    <w:rFonts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邮箱：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chenrong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Cs/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@mysteel.com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ind w:firstLine="0" w:firstLineChars="0"/>
                                  <w:jc w:val="both"/>
                                  <w:rPr>
                                    <w:rFonts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ind w:firstLine="480"/>
                                  <w:jc w:val="both"/>
                                  <w:rPr>
                                    <w:color w:val="808080" w:themeColor="text1" w:themeTint="80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72.9pt;margin-top:575.35pt;height:75.75pt;width:250.1pt;z-index:251670528;mso-width-relative:page;mso-height-relative:page;" filled="f" stroked="f" coordsize="21600,21600" o:gfxdata="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D0WGH&#10;2AAAAA0BAAAPAAAAAAAAAAEAIAAAACIAAABkcnMvZG93bnJldi54bWxQSwECFAAUAAAACACHTuJA&#10;a5DPVyECAAApBAAADgAAAAAAAAABACAAAAAnAQAAZHJzL2Uyb0RvYy54bWxQSwUGAAAAAAYABgBZ&#10;AQAAugU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spacing w:line="240" w:lineRule="auto"/>
                            <w:ind w:firstLine="0" w:firstLineChars="0"/>
                            <w:jc w:val="both"/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编辑：</w:t>
                          </w: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陈荣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40" w:lineRule="auto"/>
                            <w:ind w:firstLine="0" w:firstLineChars="0"/>
                            <w:jc w:val="both"/>
                            <w:rPr>
                              <w:rFonts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邮箱：</w:t>
                          </w: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chenrong</w:t>
                          </w:r>
                          <w:r>
                            <w:rPr>
                              <w:rFonts w:ascii="微软雅黑" w:hAnsi="微软雅黑" w:eastAsia="微软雅黑"/>
                              <w:bCs/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@mysteel.com</w:t>
                          </w:r>
                        </w:p>
                        <w:p>
                          <w:pPr>
                            <w:adjustRightInd w:val="0"/>
                            <w:snapToGrid w:val="0"/>
                            <w:ind w:firstLine="0" w:firstLineChars="0"/>
                            <w:jc w:val="both"/>
                            <w:rPr>
                              <w:rFonts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ind w:firstLine="480"/>
                            <w:jc w:val="both"/>
                            <w:rPr>
                              <w:color w:val="808080" w:themeColor="text1" w:themeTint="80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i/>
              <w:iCs/>
              <w:smallCaps/>
              <w:color w:val="1F497D" w:themeColor="text2"/>
              <w:spacing w:val="5"/>
              <w:szCs w:val="24"/>
              <w14:textFill>
                <w14:solidFill>
                  <w14:schemeClr w14:val="tx2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857250</wp:posOffset>
                    </wp:positionH>
                    <wp:positionV relativeFrom="paragraph">
                      <wp:posOffset>6769100</wp:posOffset>
                    </wp:positionV>
                    <wp:extent cx="5643880" cy="537845"/>
                    <wp:effectExtent l="0" t="0" r="0" b="0"/>
                    <wp:wrapNone/>
                    <wp:docPr id="30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43563" cy="5378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ind w:firstLine="0" w:firstLineChars="0"/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808080" w:themeColor="text1" w:themeTint="8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808080" w:themeColor="text1" w:themeTint="8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Mysteel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808080" w:themeColor="text1" w:themeTint="8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农产品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ind w:firstLine="400"/>
                                  <w:rPr>
                                    <w:rFonts w:ascii="微软雅黑" w:hAnsi="微软雅黑" w:eastAsia="微软雅黑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ind w:firstLine="400"/>
                                  <w:rPr>
                                    <w:rFonts w:ascii="微软雅黑" w:hAnsi="微软雅黑" w:eastAsia="微软雅黑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ind w:firstLine="0" w:firstLineChars="0"/>
                                  <w:rPr>
                                    <w:rFonts w:ascii="微软雅黑" w:hAnsi="微软雅黑" w:eastAsia="微软雅黑"/>
                                    <w:bCs/>
                                    <w:color w:val="000000" w:themeColor="text1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adjustRightInd w:val="0"/>
                                  <w:snapToGrid w:val="0"/>
                                  <w:ind w:firstLine="0" w:firstLineChars="0"/>
                                  <w:rPr>
                                    <w:rFonts w:ascii="微软雅黑" w:hAnsi="微软雅黑" w:eastAsia="微软雅黑"/>
                                    <w:bCs/>
                                    <w:color w:val="000000" w:themeColor="text1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ind w:firstLine="480"/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7.5pt;margin-top:533pt;height:42.35pt;width:444.4pt;z-index:251660288;mso-width-relative:page;mso-height-relative:page;" filled="f" stroked="f" coordsize="21600,21600" o:gfxdata="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RDu9NgAAAAOAQAADwAAAAAAAAABACAAAAAiAAAAZHJzL2Rvd25yZXYueG1sUEsBAhQAFAAAAAgA&#10;h07iQKkVCrQlAgAAKwQAAA4AAAAAAAAAAQAgAAAAJwEAAGRycy9lMm9Eb2MueG1sUEsFBgAAAAAG&#10;AAYAWQEAAL4F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spacing w:line="240" w:lineRule="auto"/>
                            <w:ind w:firstLine="0" w:firstLineChars="0"/>
                            <w:rPr>
                              <w:rFonts w:ascii="微软雅黑" w:hAnsi="微软雅黑" w:eastAsia="微软雅黑"/>
                              <w:b/>
                              <w:bCs/>
                              <w:color w:val="808080" w:themeColor="text1" w:themeTint="80"/>
                              <w:sz w:val="34"/>
                              <w:szCs w:val="3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808080" w:themeColor="text1" w:themeTint="80"/>
                              <w:sz w:val="34"/>
                              <w:szCs w:val="3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Mysteel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808080" w:themeColor="text1" w:themeTint="80"/>
                              <w:sz w:val="34"/>
                              <w:szCs w:val="3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农产品</w:t>
                          </w:r>
                        </w:p>
                        <w:p>
                          <w:pPr>
                            <w:adjustRightInd w:val="0"/>
                            <w:snapToGrid w:val="0"/>
                            <w:ind w:firstLine="400"/>
                            <w:rPr>
                              <w:rFonts w:ascii="微软雅黑" w:hAnsi="微软雅黑" w:eastAsia="微软雅黑"/>
                              <w:bCs/>
                              <w:color w:val="000000" w:themeColor="text1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ind w:firstLine="400"/>
                            <w:rPr>
                              <w:rFonts w:ascii="微软雅黑" w:hAnsi="微软雅黑" w:eastAsia="微软雅黑"/>
                              <w:bCs/>
                              <w:color w:val="000000" w:themeColor="text1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ind w:firstLine="0" w:firstLineChars="0"/>
                            <w:rPr>
                              <w:rFonts w:ascii="微软雅黑" w:hAnsi="微软雅黑" w:eastAsia="微软雅黑"/>
                              <w:bCs/>
                              <w:color w:val="000000" w:themeColor="text1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adjustRightInd w:val="0"/>
                            <w:snapToGrid w:val="0"/>
                            <w:ind w:firstLine="0" w:firstLineChars="0"/>
                            <w:rPr>
                              <w:rFonts w:ascii="微软雅黑" w:hAnsi="微软雅黑" w:eastAsia="微软雅黑"/>
                              <w:bCs/>
                              <w:color w:val="000000" w:themeColor="text1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ind w:firstLine="480"/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i/>
              <w:iCs/>
              <w:smallCaps/>
              <w:color w:val="1F497D" w:themeColor="text2"/>
              <w:spacing w:val="5"/>
              <w:szCs w:val="24"/>
              <w14:textFill>
                <w14:solidFill>
                  <w14:schemeClr w14:val="tx2"/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column">
                      <wp:posOffset>3909695</wp:posOffset>
                    </wp:positionH>
                    <wp:positionV relativeFrom="paragraph">
                      <wp:posOffset>7306945</wp:posOffset>
                    </wp:positionV>
                    <wp:extent cx="2505075" cy="885825"/>
                    <wp:effectExtent l="0" t="0" r="0" b="0"/>
                    <wp:wrapNone/>
                    <wp:docPr id="3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5075" cy="885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ind w:firstLine="0" w:firstLineChars="0"/>
                                  <w:jc w:val="both"/>
                                  <w:rPr>
                                    <w:rFonts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电话：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021-26094319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spacing w:line="240" w:lineRule="auto"/>
                                  <w:ind w:firstLine="0" w:firstLineChars="0"/>
                                  <w:jc w:val="both"/>
                                  <w:rPr>
                                    <w:rFonts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传真：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Cs/>
                                    <w:color w:val="808080" w:themeColor="text1" w:themeTint="80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021-66896937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307.85pt;margin-top:575.35pt;height:69.75pt;width:197.25pt;z-index:251671552;mso-width-relative:page;mso-height-relative:page;" filled="f" stroked="f" coordsize="21600,21600" o:gfxdata="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vi+03X&#10;AAAADgEAAA8AAAAAAAAAAQAgAAAAIgAAAGRycy9kb3ducmV2LnhtbFBLAQIUABQAAAAIAIdO4kBE&#10;dt/lIQIAACkEAAAOAAAAAAAAAAEAIAAAACYBAABkcnMvZTJvRG9jLnhtbFBLBQYAAAAABgAGAFkB&#10;AAC5BQ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spacing w:line="240" w:lineRule="auto"/>
                            <w:ind w:firstLine="0" w:firstLineChars="0"/>
                            <w:jc w:val="both"/>
                            <w:rPr>
                              <w:rFonts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电话：</w:t>
                          </w: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021-26094319</w:t>
                          </w:r>
                        </w:p>
                        <w:p>
                          <w:pPr>
                            <w:adjustRightInd w:val="0"/>
                            <w:snapToGrid w:val="0"/>
                            <w:spacing w:line="240" w:lineRule="auto"/>
                            <w:ind w:firstLine="0" w:firstLineChars="0"/>
                            <w:jc w:val="both"/>
                            <w:rPr>
                              <w:rFonts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传真：</w:t>
                          </w:r>
                          <w:r>
                            <w:rPr>
                              <w:rFonts w:hint="eastAsia" w:ascii="微软雅黑" w:hAnsi="微软雅黑" w:eastAsia="微软雅黑"/>
                              <w:bCs/>
                              <w:color w:val="808080" w:themeColor="text1" w:themeTint="80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021-66896937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i/>
              <w:iCs/>
              <w:smallCaps/>
              <w:color w:val="1F497D" w:themeColor="text2"/>
              <w:spacing w:val="5"/>
              <w:szCs w:val="24"/>
              <w14:textFill>
                <w14:solidFill>
                  <w14:schemeClr w14:val="tx2"/>
                </w14:solidFill>
              </w14:textFill>
            </w:rPr>
            <w:br w:type="page"/>
          </w:r>
        </w:p>
      </w:sdtContent>
    </w:sdt>
    <w:p>
      <w:pPr>
        <w:ind w:firstLine="480"/>
        <w:jc w:val="center"/>
      </w:pPr>
      <w:bookmarkStart w:id="5" w:name="_Toc66366620"/>
      <w:bookmarkStart w:id="6" w:name="_Toc66366822"/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2"/>
      </w:pPr>
      <w:bookmarkStart w:id="7" w:name="_Toc29241"/>
      <w:r>
        <w:rPr>
          <w:rFonts w:hint="eastAsia" w:ascii="微软雅黑" w:hAnsi="微软雅黑" w:eastAsia="微软雅黑" w:cs="微软雅黑"/>
          <w:b/>
          <w:bCs/>
          <w:smallCaps w:val="0"/>
          <w:color w:val="023985"/>
          <w:kern w:val="2"/>
          <w:sz w:val="52"/>
          <w:szCs w:val="52"/>
          <w:lang w:val="en-US" w:eastAsia="zh-CN" w:bidi="ar-SA"/>
        </w:rPr>
        <w:t>氨基酸</w:t>
      </w:r>
      <w:r>
        <w:rPr>
          <w:rFonts w:hint="eastAsia"/>
        </w:rPr>
        <w:t>市场</w:t>
      </w:r>
      <w:r>
        <w:rPr>
          <w:rFonts w:hint="eastAsia"/>
          <w:lang w:val="en-US" w:eastAsia="zh-CN"/>
        </w:rPr>
        <w:t>月</w:t>
      </w:r>
      <w:r>
        <w:rPr>
          <w:rFonts w:hint="eastAsia"/>
        </w:rPr>
        <w:t>度报告</w:t>
      </w:r>
      <w:bookmarkEnd w:id="0"/>
      <w:bookmarkEnd w:id="1"/>
      <w:bookmarkEnd w:id="2"/>
      <w:bookmarkEnd w:id="3"/>
      <w:bookmarkEnd w:id="5"/>
      <w:bookmarkEnd w:id="6"/>
      <w:bookmarkEnd w:id="7"/>
    </w:p>
    <w:p>
      <w:pPr>
        <w:adjustRightInd w:val="0"/>
        <w:snapToGrid w:val="0"/>
        <w:spacing w:line="240" w:lineRule="auto"/>
        <w:ind w:firstLine="0" w:firstLineChars="0"/>
        <w:jc w:val="center"/>
        <w:rPr>
          <w:rFonts w:ascii="黑体" w:hAnsi="黑体" w:eastAsia="黑体"/>
          <w:b/>
          <w:bCs/>
          <w:color w:val="023985"/>
          <w:sz w:val="28"/>
          <w:szCs w:val="28"/>
        </w:rPr>
      </w:pPr>
      <w:r>
        <w:rPr>
          <w:rFonts w:hint="eastAsia" w:ascii="黑体" w:hAnsi="黑体" w:eastAsia="黑体"/>
          <w:b/>
          <w:bCs/>
          <w:color w:val="023985"/>
          <w:sz w:val="28"/>
          <w:szCs w:val="28"/>
        </w:rPr>
        <w:t>（2022</w:t>
      </w:r>
      <w:r>
        <w:rPr>
          <w:rFonts w:hint="eastAsia" w:ascii="黑体" w:hAnsi="黑体" w:eastAsia="黑体"/>
          <w:b/>
          <w:bCs/>
          <w:color w:val="023985"/>
          <w:sz w:val="28"/>
          <w:szCs w:val="28"/>
          <w:lang w:val="en-US" w:eastAsia="zh-CN"/>
        </w:rPr>
        <w:t>年12</w:t>
      </w:r>
      <w:r>
        <w:rPr>
          <w:rFonts w:hint="eastAsia" w:ascii="黑体" w:hAnsi="黑体" w:eastAsia="黑体"/>
          <w:b/>
          <w:bCs/>
          <w:color w:val="023985"/>
          <w:sz w:val="28"/>
          <w:szCs w:val="28"/>
          <w:lang w:eastAsia="zh-CN"/>
        </w:rPr>
        <w:t>月</w:t>
      </w:r>
      <w:r>
        <w:rPr>
          <w:rFonts w:hint="eastAsia" w:ascii="黑体" w:hAnsi="黑体" w:eastAsia="黑体"/>
          <w:b/>
          <w:bCs/>
          <w:color w:val="023985"/>
          <w:sz w:val="28"/>
          <w:szCs w:val="28"/>
        </w:rPr>
        <w:t>）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ascii="宋体" w:hAnsi="宋体"/>
          <w:b/>
          <w:bCs/>
          <w:sz w:val="22"/>
        </w:rPr>
      </w:pPr>
      <w:r>
        <w:rPr>
          <w:rFonts w:hint="eastAsia" w:ascii="宋体" w:hAnsi="宋体"/>
          <w:b/>
          <w:bCs/>
          <w:sz w:val="22"/>
        </w:rPr>
        <w:t>研究方法及标准</w:t>
      </w:r>
    </w:p>
    <w:p>
      <w:pPr>
        <w:ind w:firstLine="420"/>
        <w:rPr>
          <w:rFonts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报告中的数据皆为本机构自有的调研数据，我们通过与市场业内人士的电话交流、在线交流、实地调研</w:t>
      </w:r>
      <w:r>
        <w:rPr>
          <w:rFonts w:ascii="宋体" w:hAnsi="宋体"/>
          <w:sz w:val="21"/>
          <w:szCs w:val="21"/>
        </w:rPr>
        <w:t>等方式对</w:t>
      </w:r>
      <w:r>
        <w:rPr>
          <w:rFonts w:hint="eastAsia" w:ascii="宋体" w:hAnsi="宋体"/>
          <w:sz w:val="21"/>
          <w:szCs w:val="21"/>
        </w:rPr>
        <w:t>报告中</w:t>
      </w:r>
      <w:r>
        <w:rPr>
          <w:rFonts w:ascii="宋体" w:hAnsi="宋体"/>
          <w:sz w:val="21"/>
          <w:szCs w:val="21"/>
        </w:rPr>
        <w:t>数据</w:t>
      </w:r>
      <w:r>
        <w:rPr>
          <w:rFonts w:hint="eastAsia" w:ascii="宋体" w:hAnsi="宋体"/>
          <w:sz w:val="21"/>
          <w:szCs w:val="21"/>
        </w:rPr>
        <w:t>进行验证和修正，以力求真实的反馈市场情况，并给出相应的结论，为客户的决策提供必要的帮助和参考。</w:t>
      </w:r>
    </w:p>
    <w:p>
      <w:pPr>
        <w:ind w:firstLine="0" w:firstLineChars="0"/>
        <w:rPr>
          <w:rFonts w:ascii="宋体" w:hAnsi="宋体"/>
          <w:b/>
          <w:bCs/>
          <w:sz w:val="22"/>
        </w:rPr>
      </w:pPr>
      <w:r>
        <w:rPr>
          <w:rFonts w:hint="eastAsia" w:ascii="宋体" w:hAnsi="宋体"/>
          <w:b/>
          <w:bCs/>
          <w:sz w:val="22"/>
        </w:rPr>
        <w:t>报告可信度及声明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Mysteel</w:t>
      </w:r>
      <w:r>
        <w:rPr>
          <w:rFonts w:hint="eastAsia" w:ascii="宋体" w:hAnsi="宋体"/>
          <w:sz w:val="21"/>
          <w:szCs w:val="21"/>
        </w:rPr>
        <w:t>农产品力求以最</w:t>
      </w:r>
      <w:r>
        <w:rPr>
          <w:rFonts w:ascii="宋体" w:hAnsi="宋体"/>
          <w:sz w:val="21"/>
          <w:szCs w:val="21"/>
        </w:rPr>
        <w:t>详实</w:t>
      </w:r>
      <w:r>
        <w:rPr>
          <w:rFonts w:hint="eastAsia" w:ascii="宋体" w:hAnsi="宋体"/>
          <w:sz w:val="21"/>
          <w:szCs w:val="21"/>
        </w:rPr>
        <w:t>的信息为客户提供指导</w:t>
      </w:r>
      <w:r>
        <w:rPr>
          <w:rFonts w:ascii="宋体" w:hAnsi="宋体"/>
          <w:sz w:val="21"/>
          <w:szCs w:val="21"/>
        </w:rPr>
        <w:t>与帮助</w:t>
      </w:r>
      <w:r>
        <w:rPr>
          <w:rFonts w:hint="eastAsia" w:ascii="宋体" w:hAnsi="宋体"/>
          <w:sz w:val="21"/>
          <w:szCs w:val="21"/>
        </w:rPr>
        <w:t>，但对于据此报告做出的任何商业决策可能产生的风险，本机构不承担任何法律责任。</w:t>
      </w:r>
      <w:bookmarkStart w:id="8" w:name="_Toc66351511"/>
      <w:bookmarkStart w:id="9" w:name="_Toc57975357"/>
      <w:bookmarkStart w:id="10" w:name="_Toc66351475"/>
    </w:p>
    <w:p>
      <w:pPr>
        <w:ind w:firstLine="480"/>
      </w:pPr>
      <w:r>
        <w:br w:type="page"/>
      </w:r>
    </w:p>
    <w:sdt>
      <w:sdtPr>
        <w:rPr>
          <w:rFonts w:ascii="宋体" w:hAnsi="宋体" w:eastAsia="宋体"/>
          <w:b/>
          <w:bCs/>
          <w:color w:val="4F81BD" w:themeColor="accent1"/>
          <w:sz w:val="40"/>
          <w:szCs w:val="40"/>
          <w:lang w:val="zh-CN"/>
          <w14:textFill>
            <w14:solidFill>
              <w14:schemeClr w14:val="accent1"/>
            </w14:solidFill>
          </w14:textFill>
        </w:rPr>
        <w:id w:val="1336721889"/>
        <w:docPartObj>
          <w:docPartGallery w:val="Table of Contents"/>
          <w:docPartUnique/>
        </w:docPartObj>
      </w:sdtPr>
      <w:sdtEndPr>
        <w:rPr>
          <w:rFonts w:ascii="宋体" w:hAnsi="宋体" w:eastAsia="楷体"/>
          <w:b w:val="0"/>
          <w:bCs w:val="0"/>
          <w:smallCaps w:val="0"/>
          <w:color w:val="4F81BD" w:themeColor="accent1"/>
          <w:sz w:val="40"/>
          <w:szCs w:val="40"/>
          <w:lang w:val="zh-CN"/>
          <w14:textFill>
            <w14:solidFill>
              <w14:schemeClr w14:val="accent1"/>
            </w14:solidFill>
          </w14:textFill>
        </w:rPr>
      </w:sdtEndPr>
      <w:sdtContent>
        <w:p>
          <w:pPr>
            <w:ind w:left="-62" w:firstLine="0" w:firstLineChars="0"/>
            <w:jc w:val="center"/>
            <w:rPr>
              <w:rFonts w:ascii="宋体" w:hAnsi="宋体" w:eastAsia="楷体" w:cstheme="minorBidi"/>
              <w:b/>
              <w:bCs/>
              <w:kern w:val="2"/>
              <w:sz w:val="24"/>
              <w:szCs w:val="24"/>
              <w:lang w:val="zh-CN" w:eastAsia="zh-CN" w:bidi="ar-SA"/>
            </w:rPr>
          </w:pPr>
          <w:r>
            <w:rPr>
              <w:rFonts w:ascii="宋体" w:hAnsi="宋体" w:eastAsia="宋体"/>
              <w:b/>
              <w:bCs/>
              <w:color w:val="4F81BD" w:themeColor="accent1"/>
              <w:sz w:val="40"/>
              <w:szCs w:val="40"/>
              <w:lang w:val="zh-CN"/>
              <w14:textFill>
                <w14:solidFill>
                  <w14:schemeClr w14:val="accent1"/>
                </w14:solidFill>
              </w14:textFill>
            </w:rPr>
            <w:t>目录</w:t>
          </w:r>
          <w:r>
            <w:rPr>
              <w:rFonts w:eastAsia="黑体" w:asciiTheme="minorHAnsi" w:hAnsiTheme="minorHAnsi" w:cstheme="minorHAnsi"/>
              <w:smallCaps/>
              <w:kern w:val="44"/>
              <w:sz w:val="44"/>
              <w:szCs w:val="44"/>
            </w:rPr>
            <w:fldChar w:fldCharType="begin"/>
          </w:r>
          <w:r>
            <w:instrText xml:space="preserve"> TOC \o "1-3" \h \z \u </w:instrText>
          </w:r>
          <w:r>
            <w:rPr>
              <w:rFonts w:eastAsia="黑体" w:asciiTheme="minorHAnsi" w:hAnsiTheme="minorHAnsi" w:cstheme="minorHAnsi"/>
              <w:smallCaps/>
              <w:kern w:val="44"/>
              <w:sz w:val="44"/>
              <w:szCs w:val="44"/>
            </w:rPr>
            <w:fldChar w:fldCharType="separate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_Toc29241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氨基酸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市场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月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度报告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_Toc29241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- 2 -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_Toc3979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本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月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核心观点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_Toc3979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_Toc28240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第一章 本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月氨基酸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基本面概述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_Toc28240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_Toc5574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第二章 本月氨基酸价格走势分析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_Toc5574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- 2 -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_Toc23622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 xml:space="preserve">2.1 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赖氨酸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价格分析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_Toc23622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- 2 -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_Toc31116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 xml:space="preserve">2.2 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苏氨酸价格分析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_Toc31116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- 4 -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_Toc6423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2.3 蛋氨酸价格分析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_Toc6423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- 4 -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_Toc14163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2.4 色氨酸价格分析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_Toc14163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- 5 -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_Toc32058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第三章 氨基酸供应分析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_Toc32058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- 6 -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_Toc17442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第四章 氨基酸需求分析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_Toc17442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- 7 -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_Toc30276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第五章 氨基酸海关数据分析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_Toc30276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- 7 -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_Toc6461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5.1赖氨酸盐酸盐及酯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_Toc6461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- 7 -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_Toc23139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5.2蛋氨酸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_Toc23139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- 8 -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_Toc22062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5.3苏氨酸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_Toc22062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- 9 -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_Toc11460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第六章 相关产品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_Toc11460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- 10 -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_Toc29715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6.1 玉米市场分析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_Toc29715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- 10 -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_Toc551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6.2 生猪市场分析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_Toc551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- 11 -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_Toc7254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6.3 肉鸡市场分析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_Toc7254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- 12 -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_Toc28470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6.4 蛋鸡市场分析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_Toc28470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- 13 -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990"/>
            </w:tabs>
          </w:pP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HYPERLINK \l _Toc1600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en-US" w:eastAsia="zh-CN"/>
            </w:rPr>
            <w:t>第七章 氨基酸行情展望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ab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instrText xml:space="preserve"> PAGEREF _Toc1600 </w:instrTex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t>- 13 -</w:t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  <w:lang w:val="zh-CN"/>
            </w:rPr>
            <w:fldChar w:fldCharType="end"/>
          </w:r>
        </w:p>
        <w:p>
          <w:pPr>
            <w:ind w:left="-62" w:firstLine="482" w:firstLineChars="0"/>
            <w:jc w:val="center"/>
          </w:pPr>
          <w:r>
            <w:rPr>
              <w:rFonts w:ascii="宋体" w:hAnsi="宋体"/>
              <w:b/>
              <w:bCs/>
              <w:szCs w:val="24"/>
              <w:lang w:val="zh-CN"/>
            </w:rPr>
            <w:fldChar w:fldCharType="end"/>
          </w:r>
        </w:p>
      </w:sdtContent>
    </w:sdt>
    <w:p>
      <w:pPr>
        <w:ind w:left="0" w:leftChars="0" w:firstLine="0" w:firstLineChars="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oddPage"/>
          <w:pgSz w:w="11910" w:h="16840"/>
          <w:pgMar w:top="1700" w:right="1240" w:bottom="280" w:left="1680" w:header="970" w:footer="624" w:gutter="0"/>
          <w:pgNumType w:fmt="numberInDash" w:start="0"/>
          <w:cols w:space="720" w:num="1"/>
          <w:docGrid w:linePitch="326" w:charSpace="0"/>
        </w:sectPr>
      </w:pPr>
    </w:p>
    <w:p>
      <w:pPr>
        <w:pStyle w:val="3"/>
      </w:pPr>
      <w:bookmarkStart w:id="11" w:name="_Toc3979"/>
      <w:r>
        <w:rPr>
          <w:rFonts w:hint="eastAsia"/>
        </w:rPr>
        <w:t>本</w:t>
      </w:r>
      <w:r>
        <w:rPr>
          <w:rFonts w:hint="eastAsia"/>
          <w:lang w:val="en-US" w:eastAsia="zh-CN"/>
        </w:rPr>
        <w:t>月</w:t>
      </w:r>
      <w:r>
        <w:rPr>
          <w:rFonts w:hint="eastAsia"/>
        </w:rPr>
        <w:t>核心观点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00" w:beforeLines="0" w:beforeAutospacing="1" w:after="100" w:afterAutospacing="1" w:line="300" w:lineRule="auto"/>
        <w:ind w:firstLine="480"/>
        <w:textAlignment w:val="auto"/>
        <w:rPr>
          <w:rFonts w:hint="default" w:eastAsia="楷体"/>
          <w:lang w:val="en-US" w:eastAsia="zh-CN"/>
        </w:rPr>
      </w:pPr>
      <w:r>
        <w:rPr>
          <w:rFonts w:hint="eastAsia"/>
        </w:rPr>
        <w:t>本</w:t>
      </w:r>
      <w:r>
        <w:rPr>
          <w:rFonts w:hint="eastAsia" w:ascii="楷体" w:hAnsi="楷体" w:cs="楷体"/>
          <w:lang w:val="en-US" w:eastAsia="zh-CN"/>
        </w:rPr>
        <w:t>月氨基酸市场价格继续下调，氨基酸市场价格整体继续呈现下调态势，70%赖氨酸、98.5%赖氨酸及苏氨酸、蛋氨酸大幅下跌，色氨酸及缬氨酸偏弱震荡运行。氨基酸供应端厂家复产进行下赖氨酸产量环比略有增加。本周赖苏企业报价偏弱运行，70%赖氨酸运行在5.2-5.6元/公斤之间，98.5%赖氨酸运行在8.4-8.9元/公斤之间，苏氨酸运行在8.4-8.9元/公斤之间，下游多数年关备货已经完成，需求较为弱势下，下游企业多观望为主，备货较少，市场成交偏于清淡，市场价格逐步下调。蛋氨酸11月进口大增，出口小增下市场价格抛货进行，少量企业备货刚需，市场价格逐渐下调，部分市场跌至低位。色氨酸、缬氨酸整体市场价格弱稳震荡，关注豆粕走势及下游需求变化，短期预计色、缬氨酸价格震荡为主。</w:t>
      </w:r>
    </w:p>
    <w:p>
      <w:pPr>
        <w:pStyle w:val="3"/>
      </w:pPr>
      <w:bookmarkStart w:id="12" w:name="_Toc28240"/>
      <w:r>
        <w:rPr>
          <w:rFonts w:hint="eastAsia"/>
        </w:rPr>
        <w:t>第一章</w:t>
      </w:r>
      <w:bookmarkEnd w:id="4"/>
      <w:bookmarkEnd w:id="8"/>
      <w:bookmarkEnd w:id="9"/>
      <w:bookmarkEnd w:id="10"/>
      <w:r>
        <w:rPr>
          <w:rFonts w:hint="eastAsia"/>
        </w:rPr>
        <w:t xml:space="preserve"> </w:t>
      </w:r>
      <w:bookmarkStart w:id="13" w:name="_Toc77846518"/>
      <w:bookmarkStart w:id="14" w:name="_Toc1317"/>
      <w:r>
        <w:rPr>
          <w:rFonts w:hint="eastAsia"/>
          <w:color w:val="023985"/>
          <w:sz w:val="28"/>
          <w:szCs w:val="28"/>
        </w:rPr>
        <w:t>本</w:t>
      </w:r>
      <w:r>
        <w:rPr>
          <w:rFonts w:hint="eastAsia"/>
          <w:color w:val="023985"/>
          <w:sz w:val="28"/>
          <w:szCs w:val="28"/>
          <w:lang w:val="en-US" w:eastAsia="zh-CN"/>
        </w:rPr>
        <w:t>月氨基酸</w:t>
      </w:r>
      <w:r>
        <w:rPr>
          <w:rFonts w:hint="eastAsia"/>
          <w:color w:val="023985"/>
          <w:sz w:val="28"/>
          <w:szCs w:val="28"/>
        </w:rPr>
        <w:t>基本面概述</w:t>
      </w:r>
      <w:bookmarkEnd w:id="12"/>
      <w:bookmarkEnd w:id="13"/>
      <w:bookmarkEnd w:id="14"/>
    </w:p>
    <w:tbl>
      <w:tblPr>
        <w:tblStyle w:val="26"/>
        <w:tblW w:w="9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"/>
        <w:gridCol w:w="3604"/>
        <w:gridCol w:w="1725"/>
        <w:gridCol w:w="1940"/>
        <w:gridCol w:w="1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bookmarkStart w:id="15" w:name="_Hlk73611762"/>
            <w:r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类别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本</w:t>
            </w:r>
            <w:r>
              <w:rPr>
                <w:rFonts w:hint="eastAsia" w:cs="Times New Roman"/>
                <w:b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月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cs="Times New Roman"/>
                <w:b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上月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涨跌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价格</w:t>
            </w: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70%赖氨酸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（元/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公斤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5.8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6.2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-6.45%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4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98.5%赖氨酸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（元/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公斤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8.8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9.2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-4.35%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（元/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公斤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8.8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9.1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-3.30%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4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蛋氨酸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（元/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公斤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19.8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20.2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-1.98%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色氨酸（元/公斤）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eastAsiaTheme="minorEastAsia"/>
                <w:sz w:val="24"/>
                <w:szCs w:val="24"/>
                <w:lang w:val="en-US" w:eastAsia="zh-CN"/>
              </w:rPr>
              <w:t>66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eastAsiaTheme="minorEastAsia"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FF000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-2.94%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FF0000"/>
                <w:szCs w:val="24"/>
                <w:lang w:val="en-US" w:eastAsia="zh-CN"/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Cs w:val="24"/>
                <w:lang w:val="en-US" w:eastAsia="zh-CN"/>
              </w:rPr>
              <w:t>缬</w:t>
            </w:r>
            <w:r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  <w:t>氨酸（元/公斤）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25.5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24.5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FF000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FF0000"/>
                <w:szCs w:val="24"/>
                <w:lang w:val="en-US" w:eastAsia="zh-CN"/>
              </w:rPr>
              <w:t>4.08%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供应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赖氨酸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企业开机率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67%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62%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FF000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FF0000"/>
                <w:szCs w:val="24"/>
                <w:lang w:val="en-US" w:eastAsia="zh-CN"/>
              </w:rPr>
              <w:t>5.00%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企业开机率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70%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53%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FF0000"/>
                <w:szCs w:val="24"/>
                <w:lang w:val="en-US" w:eastAsia="zh-CN"/>
              </w:rPr>
              <w:t>17.00</w:t>
            </w:r>
            <w:r>
              <w:rPr>
                <w:rFonts w:hint="default" w:cs="Times New Roman"/>
                <w:b w:val="0"/>
                <w:bCs/>
                <w:color w:val="FF0000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蛋氨酸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企业开机率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80%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80%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Cs w:val="24"/>
                <w:lang w:val="en-US" w:eastAsia="zh-CN"/>
              </w:rPr>
              <w:t>0.00</w:t>
            </w:r>
            <w:r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色氨酸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企业开机率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56%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lang w:val="en-US" w:eastAsia="zh-CN" w:bidi="ar-SA"/>
              </w:rPr>
              <w:t>56%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Cs w:val="24"/>
                <w:lang w:val="en-US" w:eastAsia="zh-CN"/>
              </w:rPr>
              <w:t>0.00</w:t>
            </w:r>
            <w:r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需求</w:t>
            </w: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下游方面</w:t>
            </w:r>
          </w:p>
        </w:tc>
        <w:tc>
          <w:tcPr>
            <w:tcW w:w="53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下游多数备货1-2月左右库存。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4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出口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方面</w:t>
            </w:r>
          </w:p>
        </w:tc>
        <w:tc>
          <w:tcPr>
            <w:tcW w:w="53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11月98.5%赖氨酸、苏氨酸环比大降，蛋氨酸出口和进口均增加。</w:t>
            </w:r>
          </w:p>
        </w:tc>
      </w:tr>
      <w:bookmarkEnd w:id="15"/>
    </w:tbl>
    <w:p>
      <w:pPr>
        <w:ind w:left="0" w:leftChars="0" w:firstLine="0" w:firstLineChars="0"/>
      </w:pPr>
      <w:r>
        <w:rPr>
          <w:rFonts w:hint="eastAsia"/>
        </w:rPr>
        <w:t xml:space="preserve">  </w:t>
      </w:r>
    </w:p>
    <w:p>
      <w:pPr>
        <w:pStyle w:val="3"/>
        <w:numPr>
          <w:ilvl w:val="0"/>
          <w:numId w:val="1"/>
        </w:numPr>
        <w:rPr>
          <w:rFonts w:hint="eastAsia"/>
          <w:lang w:val="en-US" w:eastAsia="zh-CN"/>
        </w:rPr>
      </w:pPr>
      <w:bookmarkStart w:id="16" w:name="_Toc6960"/>
      <w:bookmarkStart w:id="17" w:name="_Toc5574"/>
      <w:r>
        <w:rPr>
          <w:rFonts w:hint="eastAsia"/>
          <w:color w:val="023985"/>
          <w:sz w:val="28"/>
          <w:szCs w:val="28"/>
          <w:lang w:val="en-US" w:eastAsia="zh-CN"/>
        </w:rPr>
        <w:t>本月氨基酸价格走势分析</w:t>
      </w:r>
      <w:bookmarkEnd w:id="16"/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楷体" w:hAnsi="楷体" w:eastAsia="楷体" w:cs="楷体"/>
          <w:i/>
          <w:iCs/>
          <w:color w:val="7F7F7F"/>
          <w:sz w:val="18"/>
          <w:szCs w:val="18"/>
          <w:lang w:eastAsia="zh-CN"/>
        </w:rPr>
        <w:drawing>
          <wp:inline distT="0" distB="0" distL="114300" distR="114300">
            <wp:extent cx="4476750" cy="3289300"/>
            <wp:effectExtent l="0" t="0" r="0" b="6350"/>
            <wp:docPr id="2" name="图片 2" descr="16717015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17015112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beforeAutospacing="0" w:after="120" w:afterLines="50" w:afterAutospacing="0" w:line="360" w:lineRule="auto"/>
        <w:ind w:firstLine="480"/>
        <w:jc w:val="right"/>
        <w:rPr>
          <w:rFonts w:hint="eastAsia" w:eastAsia="楷体_GB2312" w:cs="Times New Roman"/>
          <w:i/>
          <w:iCs/>
          <w:color w:val="7F7F7F"/>
          <w:sz w:val="18"/>
          <w:szCs w:val="18"/>
        </w:rPr>
      </w:pPr>
      <w:r>
        <w:rPr>
          <w:rFonts w:hint="eastAsia" w:ascii="楷体" w:hAnsi="楷体" w:eastAsia="楷体" w:cs="楷体"/>
          <w:i/>
          <w:iCs/>
          <w:color w:val="7F7F7F"/>
          <w:sz w:val="18"/>
          <w:szCs w:val="18"/>
        </w:rPr>
        <w:t>数据来源：钢联数据</w:t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default" w:eastAsia="楷体_GB2312" w:cs="Times New Roman"/>
          <w:i/>
          <w:iCs/>
          <w:color w:val="7F7F7F"/>
          <w:sz w:val="18"/>
          <w:szCs w:val="18"/>
          <w:lang w:val="en-US" w:eastAsia="zh-CN"/>
        </w:rPr>
      </w:pP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图</w:t>
      </w:r>
      <w:r>
        <w:rPr>
          <w:rFonts w:hint="default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1</w:t>
      </w:r>
      <w:r>
        <w:rPr>
          <w:color w:val="023985"/>
        </w:rPr>
        <w:t xml:space="preserve"> </w:t>
      </w: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国内氨基酸市场价格走势图</w:t>
      </w:r>
    </w:p>
    <w:p>
      <w:pPr>
        <w:pStyle w:val="4"/>
      </w:pPr>
      <w:bookmarkStart w:id="18" w:name="_Toc23622"/>
      <w:r>
        <w:rPr>
          <w:rFonts w:hint="eastAsia"/>
        </w:rPr>
        <w:t>2</w:t>
      </w:r>
      <w:r>
        <w:t xml:space="preserve">.1 </w:t>
      </w:r>
      <w:r>
        <w:rPr>
          <w:rFonts w:hint="eastAsia"/>
          <w:color w:val="023985"/>
          <w:sz w:val="24"/>
          <w:szCs w:val="24"/>
          <w:lang w:val="en-US" w:eastAsia="zh-CN"/>
        </w:rPr>
        <w:t>赖氨酸</w:t>
      </w:r>
      <w:r>
        <w:rPr>
          <w:rFonts w:hint="eastAsia"/>
          <w:color w:val="023985"/>
          <w:sz w:val="24"/>
          <w:szCs w:val="24"/>
        </w:rPr>
        <w:t>价格分析</w:t>
      </w:r>
      <w:bookmarkEnd w:id="18"/>
    </w:p>
    <w:p>
      <w:pPr>
        <w:pStyle w:val="6"/>
        <w:rPr>
          <w:color w:val="023985"/>
        </w:rPr>
      </w:pPr>
      <w:bookmarkStart w:id="19" w:name="_Toc67034098"/>
      <w:bookmarkStart w:id="20" w:name="_Toc66355783"/>
      <w:bookmarkStart w:id="21" w:name="_Toc66441105"/>
      <w:bookmarkStart w:id="22" w:name="_Toc66354831"/>
      <w:bookmarkStart w:id="23" w:name="_Toc66355207"/>
      <w:r>
        <w:rPr>
          <w:rFonts w:hint="eastAsia"/>
          <w:color w:val="023985"/>
        </w:rPr>
        <w:t>表1</w:t>
      </w:r>
      <w:r>
        <w:rPr>
          <w:color w:val="023985"/>
        </w:rPr>
        <w:t xml:space="preserve"> </w:t>
      </w:r>
      <w:bookmarkEnd w:id="19"/>
      <w:bookmarkEnd w:id="20"/>
      <w:bookmarkEnd w:id="21"/>
      <w:bookmarkEnd w:id="22"/>
      <w:bookmarkEnd w:id="23"/>
      <w:r>
        <w:rPr>
          <w:rFonts w:hint="default"/>
          <w:color w:val="023985"/>
          <w:lang w:val="en-US" w:eastAsia="zh-CN"/>
        </w:rPr>
        <w:t>赖氨酸硫酸盐国内市场价格</w:t>
      </w:r>
    </w:p>
    <w:p>
      <w:pPr>
        <w:ind w:firstLine="480"/>
        <w:jc w:val="right"/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单位：元/公斤</w:t>
      </w:r>
    </w:p>
    <w:tbl>
      <w:tblPr>
        <w:tblStyle w:val="25"/>
        <w:tblW w:w="9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2796"/>
        <w:gridCol w:w="2799"/>
        <w:gridCol w:w="1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  <w:t>省份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2022/</w:t>
            </w: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/</w:t>
            </w: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2022/</w:t>
            </w: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/</w:t>
            </w: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月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环比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黑龙江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5.6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-9.68%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山东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5.5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-11.29%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广东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5.8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6.5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-10.77%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北京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5.6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-9.68%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5.8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6.5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-10.77%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南昌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5.7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6.4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-10.94%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上海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5.7</w:t>
            </w:r>
          </w:p>
        </w:tc>
        <w:tc>
          <w:tcPr>
            <w:tcW w:w="2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/>
                <w:szCs w:val="24"/>
                <w:lang w:val="en-US" w:eastAsia="zh-CN"/>
              </w:rPr>
              <w:t>6.4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-10.94%</w:t>
            </w:r>
          </w:p>
        </w:tc>
      </w:tr>
    </w:tbl>
    <w:p>
      <w:pPr>
        <w:ind w:left="0" w:leftChars="0" w:firstLine="0" w:firstLineChars="0"/>
        <w:jc w:val="right"/>
        <w:rPr>
          <w:rStyle w:val="48"/>
        </w:rPr>
      </w:pPr>
      <w:r>
        <w:rPr>
          <w:rStyle w:val="48"/>
          <w:rFonts w:hint="eastAsia"/>
        </w:rPr>
        <w:t>数据来源：钢联数据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leftChars="0" w:firstLine="0" w:firstLineChars="0"/>
        <w:jc w:val="center"/>
        <w:textAlignment w:val="auto"/>
        <w:rPr>
          <w:rStyle w:val="60"/>
          <w:rFonts w:hint="eastAsia" w:ascii="Times New Roman" w:hAnsi="Times New Roman" w:eastAsia="楷体_GB2312" w:cs="Times New Roman"/>
          <w:b/>
          <w:bCs/>
          <w:i w:val="0"/>
          <w:iCs w:val="0"/>
          <w:color w:val="023985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表2 赖氨酸盐酸盐国内市场价格</w:t>
      </w:r>
    </w:p>
    <w:p>
      <w:pPr>
        <w:ind w:firstLine="480"/>
        <w:jc w:val="right"/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单位：元/公斤</w:t>
      </w:r>
    </w:p>
    <w:tbl>
      <w:tblPr>
        <w:tblStyle w:val="25"/>
        <w:tblW w:w="90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1"/>
        <w:gridCol w:w="2797"/>
        <w:gridCol w:w="2377"/>
        <w:gridCol w:w="1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ascii="楷体" w:hAnsi="楷体" w:eastAsia="楷体" w:cs="宋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  <w:t>省份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4"/>
              </w:rPr>
              <w:t>2022/</w:t>
            </w:r>
            <w:r>
              <w:rPr>
                <w:rFonts w:hint="eastAsia" w:cs="Times New Roman" w:eastAsiaTheme="minorEastAsia"/>
                <w:b/>
                <w:szCs w:val="24"/>
                <w:lang w:val="en-US" w:eastAsia="zh-CN"/>
              </w:rPr>
              <w:t>12</w:t>
            </w:r>
            <w:r>
              <w:rPr>
                <w:rFonts w:hint="default" w:ascii="Times New Roman" w:hAnsi="Times New Roman" w:cs="Times New Roman" w:eastAsiaTheme="minorEastAsia"/>
                <w:b/>
                <w:szCs w:val="24"/>
              </w:rPr>
              <w:t>/</w:t>
            </w:r>
            <w:r>
              <w:rPr>
                <w:rFonts w:hint="eastAsia" w:cs="Times New Roman" w:eastAsiaTheme="minorEastAsia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Cs w:val="24"/>
              </w:rPr>
              <w:t>2022/</w:t>
            </w:r>
            <w:r>
              <w:rPr>
                <w:rFonts w:hint="eastAsia" w:cs="Times New Roman" w:eastAsiaTheme="minorEastAsia"/>
                <w:b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cs="Times New Roman" w:eastAsiaTheme="minorEastAsia"/>
                <w:b/>
                <w:szCs w:val="24"/>
              </w:rPr>
              <w:t>/</w:t>
            </w:r>
            <w:r>
              <w:rPr>
                <w:rFonts w:hint="eastAsia" w:cs="Times New Roman" w:eastAsiaTheme="minorEastAsia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ascii="楷体" w:hAnsi="楷体" w:eastAsia="楷体" w:cs="宋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/>
                <w:b/>
                <w:szCs w:val="24"/>
                <w:lang w:val="en-US" w:eastAsia="zh-CN"/>
              </w:rPr>
              <w:t>月</w:t>
            </w:r>
            <w:r>
              <w:rPr>
                <w:rFonts w:hint="eastAsia" w:ascii="楷体" w:hAnsi="楷体" w:eastAsia="楷体"/>
                <w:b/>
                <w:szCs w:val="24"/>
              </w:rPr>
              <w:t>环比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黑龙江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8.8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9.2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-4.35%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山东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8.7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9.1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-4.40%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广东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8.9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9.5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-6.32%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北京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8.7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9.2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-5.43%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8.9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9.5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-6.32%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南昌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8.8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9.3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-5.38%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上海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8.8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9.3</w:t>
            </w:r>
          </w:p>
        </w:tc>
        <w:tc>
          <w:tcPr>
            <w:tcW w:w="1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-5.38%</w:t>
            </w:r>
          </w:p>
        </w:tc>
      </w:tr>
    </w:tbl>
    <w:p>
      <w:pPr>
        <w:ind w:firstLine="360"/>
        <w:jc w:val="right"/>
        <w:rPr>
          <w:rStyle w:val="48"/>
        </w:rPr>
      </w:pPr>
      <w:r>
        <w:rPr>
          <w:rStyle w:val="48"/>
        </w:rPr>
        <w:t>数据来源</w:t>
      </w:r>
      <w:r>
        <w:rPr>
          <w:rStyle w:val="48"/>
          <w:rFonts w:hint="eastAsia"/>
        </w:rPr>
        <w:t>：</w:t>
      </w:r>
      <w:r>
        <w:rPr>
          <w:rStyle w:val="48"/>
        </w:rPr>
        <w:t>钢联数据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00" w:beforeLines="0" w:beforeAutospacing="1" w:after="100" w:afterAutospacing="1" w:line="300" w:lineRule="auto"/>
        <w:ind w:firstLine="480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default" w:ascii="楷体" w:hAnsi="楷体" w:eastAsia="楷体" w:cs="楷体"/>
          <w:lang w:val="en-US" w:eastAsia="zh-CN"/>
        </w:rPr>
        <w:t>本</w:t>
      </w:r>
      <w:r>
        <w:rPr>
          <w:rFonts w:hint="eastAsia" w:ascii="楷体" w:hAnsi="楷体" w:cs="楷体"/>
          <w:lang w:val="en-US" w:eastAsia="zh-CN"/>
        </w:rPr>
        <w:t>月赖氨酸多数厂家报价趋弱下调，市场价格逐步下跌，12月70%赖氨酸市场价格均价5.7元/公斤，环比跌幅10.94%。98.5%赖氨酸均价8.8元/公斤，环比跌幅5.38%。整体价格环比大幅下调，报价方面，70%赖氨酸运行在5.2-5.6元/公斤之间，98.5%赖氨酸运行在8.4-8.9元/公斤之间</w:t>
      </w:r>
      <w:r>
        <w:rPr>
          <w:rFonts w:hint="default" w:ascii="楷体" w:hAnsi="楷体" w:cs="楷体"/>
          <w:lang w:val="en-US" w:eastAsia="zh-CN"/>
        </w:rPr>
        <w:t>，</w:t>
      </w:r>
      <w:r>
        <w:rPr>
          <w:rFonts w:hint="eastAsia" w:ascii="楷体" w:hAnsi="楷体" w:cs="楷体"/>
          <w:lang w:val="en-US" w:eastAsia="zh-CN"/>
        </w:rPr>
        <w:t>国内</w:t>
      </w:r>
      <w:r>
        <w:rPr>
          <w:rFonts w:hint="default" w:ascii="楷体" w:hAnsi="楷体" w:cs="楷体"/>
          <w:lang w:val="en-US" w:eastAsia="zh-CN"/>
        </w:rPr>
        <w:t>市场价格</w:t>
      </w:r>
      <w:r>
        <w:rPr>
          <w:rFonts w:hint="eastAsia" w:ascii="楷体" w:hAnsi="楷体" w:cs="楷体"/>
          <w:lang w:val="en-US" w:eastAsia="zh-CN"/>
        </w:rPr>
        <w:t>跟随下跌</w:t>
      </w:r>
      <w:r>
        <w:rPr>
          <w:rFonts w:hint="default" w:ascii="楷体" w:hAnsi="楷体" w:cs="楷体"/>
          <w:lang w:val="en-US" w:eastAsia="zh-CN"/>
        </w:rPr>
        <w:t>，70赖氨酸调整至</w:t>
      </w:r>
      <w:r>
        <w:rPr>
          <w:rFonts w:hint="eastAsia" w:ascii="楷体" w:hAnsi="楷体" w:cs="楷体"/>
          <w:lang w:val="en-US" w:eastAsia="zh-CN"/>
        </w:rPr>
        <w:t>5.5</w:t>
      </w:r>
      <w:r>
        <w:rPr>
          <w:rFonts w:hint="default" w:ascii="楷体" w:hAnsi="楷体" w:cs="楷体"/>
          <w:lang w:val="en-US" w:eastAsia="zh-CN"/>
        </w:rPr>
        <w:t>-</w:t>
      </w:r>
      <w:r>
        <w:rPr>
          <w:rFonts w:hint="eastAsia" w:ascii="楷体" w:hAnsi="楷体" w:cs="楷体"/>
          <w:lang w:val="en-US" w:eastAsia="zh-CN"/>
        </w:rPr>
        <w:t>5.9</w:t>
      </w:r>
      <w:r>
        <w:rPr>
          <w:rFonts w:hint="default" w:ascii="楷体" w:hAnsi="楷体" w:cs="楷体"/>
          <w:lang w:val="en-US" w:eastAsia="zh-CN"/>
        </w:rPr>
        <w:t>元/公斤之间，98赖氨酸调整至</w:t>
      </w:r>
      <w:r>
        <w:rPr>
          <w:rFonts w:hint="eastAsia" w:ascii="楷体" w:hAnsi="楷体" w:cs="楷体"/>
          <w:lang w:val="en-US" w:eastAsia="zh-CN"/>
        </w:rPr>
        <w:t>8.6</w:t>
      </w:r>
      <w:r>
        <w:rPr>
          <w:rFonts w:hint="default" w:ascii="楷体" w:hAnsi="楷体" w:cs="楷体"/>
          <w:lang w:val="en-US" w:eastAsia="zh-CN"/>
        </w:rPr>
        <w:t>-</w:t>
      </w:r>
      <w:r>
        <w:rPr>
          <w:rFonts w:hint="eastAsia" w:ascii="楷体" w:hAnsi="楷体" w:cs="楷体"/>
          <w:lang w:val="en-US" w:eastAsia="zh-CN"/>
        </w:rPr>
        <w:t>8.9</w:t>
      </w:r>
      <w:r>
        <w:rPr>
          <w:rFonts w:hint="default" w:ascii="楷体" w:hAnsi="楷体" w:cs="楷体"/>
          <w:lang w:val="en-US" w:eastAsia="zh-CN"/>
        </w:rPr>
        <w:t>元/公斤之间。供应端企业</w:t>
      </w:r>
      <w:r>
        <w:rPr>
          <w:rFonts w:hint="eastAsia" w:ascii="楷体" w:hAnsi="楷体" w:cs="楷体"/>
          <w:lang w:val="en-US" w:eastAsia="zh-CN"/>
        </w:rPr>
        <w:t>执行复产计划</w:t>
      </w:r>
      <w:r>
        <w:rPr>
          <w:rFonts w:hint="default" w:ascii="楷体" w:hAnsi="楷体" w:cs="楷体"/>
          <w:lang w:val="en-US" w:eastAsia="zh-CN"/>
        </w:rPr>
        <w:t>，</w:t>
      </w:r>
      <w:r>
        <w:rPr>
          <w:rFonts w:hint="eastAsia" w:ascii="楷体" w:hAnsi="楷体" w:cs="楷体"/>
          <w:lang w:val="en-US" w:eastAsia="zh-CN"/>
        </w:rPr>
        <w:t>本月赖氨酸</w:t>
      </w:r>
      <w:r>
        <w:rPr>
          <w:rFonts w:hint="default" w:ascii="楷体" w:hAnsi="楷体" w:cs="楷体"/>
          <w:lang w:val="en-US" w:eastAsia="zh-CN"/>
        </w:rPr>
        <w:t>企业产量</w:t>
      </w:r>
      <w:r>
        <w:rPr>
          <w:rFonts w:hint="eastAsia" w:ascii="楷体" w:hAnsi="楷体" w:cs="楷体"/>
          <w:lang w:val="en-US" w:eastAsia="zh-CN"/>
        </w:rPr>
        <w:t>环比增加明显，关注1月部分企业复产及投产计划。需求端下游部分企业备货30-60天左右库存，部分企业仍旧观望市场，少量补库。贸易市场成交较为清淡，部分市场抛货进行，短期预计赖氨酸价格偏稳震荡为主，关注投产进程。</w:t>
      </w:r>
    </w:p>
    <w:p>
      <w:pPr>
        <w:pStyle w:val="4"/>
      </w:pPr>
      <w:bookmarkStart w:id="24" w:name="_Toc66351478"/>
      <w:bookmarkStart w:id="25" w:name="_Toc57975360"/>
      <w:bookmarkStart w:id="26" w:name="_Toc57975286"/>
      <w:bookmarkStart w:id="27" w:name="_Toc66351514"/>
      <w:bookmarkStart w:id="28" w:name="_Toc31116"/>
      <w:r>
        <w:t>2</w:t>
      </w:r>
      <w:r>
        <w:rPr>
          <w:rFonts w:hint="eastAsia"/>
        </w:rPr>
        <w:t>.</w:t>
      </w:r>
      <w:r>
        <w:t>2</w:t>
      </w:r>
      <w:bookmarkEnd w:id="24"/>
      <w:bookmarkEnd w:id="25"/>
      <w:bookmarkEnd w:id="26"/>
      <w:bookmarkEnd w:id="27"/>
      <w:r>
        <w:t xml:space="preserve"> </w:t>
      </w:r>
      <w:r>
        <w:rPr>
          <w:rFonts w:hint="eastAsia"/>
          <w:color w:val="023985"/>
          <w:sz w:val="24"/>
          <w:szCs w:val="24"/>
          <w:lang w:val="en-US" w:eastAsia="zh-CN"/>
        </w:rPr>
        <w:t>苏氨酸价格分析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表3 苏氨酸国内市场价格</w:t>
      </w:r>
    </w:p>
    <w:p>
      <w:pPr>
        <w:ind w:firstLine="480"/>
        <w:jc w:val="right"/>
        <w:rPr>
          <w:rFonts w:hint="eastAsia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单位：元/公斤</w:t>
      </w:r>
    </w:p>
    <w:tbl>
      <w:tblPr>
        <w:tblStyle w:val="25"/>
        <w:tblW w:w="90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2797"/>
        <w:gridCol w:w="2377"/>
        <w:gridCol w:w="1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  <w:t>省份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2022/</w:t>
            </w: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楷体" w:cs="Times New Roman"/>
                <w:b w:val="0"/>
                <w:bCs/>
                <w:sz w:val="24"/>
                <w:szCs w:val="24"/>
              </w:rPr>
              <w:t>/</w:t>
            </w:r>
            <w:r>
              <w:rPr>
                <w:rFonts w:hint="eastAsia" w:cs="Times New Roman"/>
                <w:b w:val="0"/>
                <w:bCs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2022/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cs="楷体"/>
                <w:b/>
                <w:szCs w:val="24"/>
                <w:lang w:val="en-US" w:eastAsia="zh-CN"/>
              </w:rPr>
              <w:t>月</w:t>
            </w:r>
            <w:r>
              <w:rPr>
                <w:rFonts w:hint="eastAsia" w:ascii="楷体" w:hAnsi="楷体" w:eastAsia="楷体" w:cs="楷体"/>
                <w:b/>
                <w:szCs w:val="24"/>
              </w:rPr>
              <w:t>环比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山东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8.7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-5.43%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广东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8.9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9.5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-6.32%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北京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8.8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-4.35%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8.9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9.5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-6.32%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南昌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8.9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9.4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-5.32%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上海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8.9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9.3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-4.30%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楷体" w:hAnsi="楷体" w:eastAsia="楷体" w:cs="楷体"/>
          <w:lang w:val="en-US" w:eastAsia="zh-CN"/>
        </w:rPr>
      </w:pPr>
      <w:r>
        <w:rPr>
          <w:rFonts w:hint="default" w:ascii="楷体" w:hAnsi="楷体" w:eastAsia="楷体" w:cs="楷体"/>
          <w:lang w:val="en-US" w:eastAsia="zh-CN"/>
        </w:rPr>
        <w:t>本</w:t>
      </w:r>
      <w:r>
        <w:rPr>
          <w:rFonts w:hint="eastAsia" w:ascii="楷体" w:hAnsi="楷体" w:cs="楷体"/>
          <w:lang w:val="en-US" w:eastAsia="zh-CN"/>
        </w:rPr>
        <w:t>月苏氨酸市场月度均价8.9元/公斤，环比下调5.32%，</w:t>
      </w:r>
      <w:r>
        <w:rPr>
          <w:rFonts w:hint="default" w:ascii="楷体" w:hAnsi="楷体" w:eastAsia="楷体" w:cs="楷体"/>
          <w:lang w:val="en-US" w:eastAsia="zh-CN"/>
        </w:rPr>
        <w:t>苏氨酸厂家报价</w:t>
      </w:r>
      <w:r>
        <w:rPr>
          <w:rFonts w:hint="eastAsia" w:ascii="楷体" w:hAnsi="楷体" w:cs="楷体"/>
          <w:lang w:val="en-US" w:eastAsia="zh-CN"/>
        </w:rPr>
        <w:t>环比下跌至8.4-8.9元/公斤之间，受需求弱势及厂家报价趋弱影响，市场价格逐渐偏弱下调，国内市场价格逐步运行至8.6-8.9元/公斤之间，跌幅较为明显。供应端企业逐渐复产，供应量环比增幅明显。需求端需求端下游多数备货至年后，库存1.5-2月左右，整体需求偏于清淡，贸易市场价格较为宽泛，部分市场跌至低位。目前苏氨酸价格不及成本线，整体亏损下月末企业报价搭配赖氨酸销售，整体价格弱稳下调，贸易市场询单较少，成交偏于清淡，预计23年1月份苏氨酸偏弱震荡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00" w:beforeLines="0" w:beforeAutospacing="1" w:after="100" w:afterAutospacing="1" w:line="300" w:lineRule="auto"/>
        <w:ind w:firstLine="480"/>
        <w:textAlignment w:val="auto"/>
        <w:rPr>
          <w:rFonts w:hint="default" w:ascii="楷体" w:hAnsi="楷体" w:eastAsia="楷体" w:cs="楷体"/>
          <w:lang w:val="en-US" w:eastAsia="zh-CN"/>
        </w:rPr>
      </w:pPr>
    </w:p>
    <w:p>
      <w:pPr>
        <w:pStyle w:val="4"/>
        <w:rPr>
          <w:rFonts w:hint="default"/>
          <w:lang w:val="en-US" w:eastAsia="zh-CN"/>
        </w:rPr>
      </w:pPr>
      <w:bookmarkStart w:id="29" w:name="_Toc6423"/>
      <w:bookmarkStart w:id="30" w:name="_Toc21005"/>
      <w:r>
        <w:rPr>
          <w:rFonts w:hint="eastAsia"/>
          <w:lang w:val="en-US" w:eastAsia="zh-CN"/>
        </w:rPr>
        <w:t>2.3 蛋氨酸价格分析</w:t>
      </w:r>
      <w:bookmarkEnd w:id="29"/>
      <w:bookmarkEnd w:id="30"/>
    </w:p>
    <w:p>
      <w:pPr>
        <w:bidi w:val="0"/>
        <w:jc w:val="center"/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color w:val="023985"/>
          <w:kern w:val="2"/>
          <w:sz w:val="24"/>
          <w:szCs w:val="28"/>
          <w:lang w:val="en-US" w:eastAsia="zh-CN" w:bidi="ar-SA"/>
        </w:rPr>
        <w:t>表</w:t>
      </w: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4</w:t>
      </w:r>
      <w:r>
        <w:rPr>
          <w:color w:val="023985"/>
        </w:rPr>
        <w:t xml:space="preserve"> </w:t>
      </w:r>
      <w:r>
        <w:rPr>
          <w:rFonts w:hint="eastAsia" w:ascii="楷体" w:hAnsi="楷体" w:eastAsia="楷体" w:cs="楷体"/>
          <w:b/>
          <w:bCs/>
          <w:color w:val="023985"/>
          <w:kern w:val="2"/>
          <w:sz w:val="24"/>
          <w:szCs w:val="28"/>
          <w:lang w:val="en-US" w:eastAsia="zh-CN" w:bidi="ar-SA"/>
        </w:rPr>
        <w:t>蛋氨酸国内市场价格</w:t>
      </w:r>
    </w:p>
    <w:p>
      <w:pPr>
        <w:ind w:firstLine="480"/>
        <w:jc w:val="right"/>
        <w:rPr>
          <w:rFonts w:hint="eastAsia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单位：元/公斤</w:t>
      </w:r>
    </w:p>
    <w:tbl>
      <w:tblPr>
        <w:tblStyle w:val="25"/>
        <w:tblW w:w="90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2797"/>
        <w:gridCol w:w="2377"/>
        <w:gridCol w:w="1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  <w:t>省份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2022/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2022/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cs="楷体"/>
                <w:b/>
                <w:szCs w:val="24"/>
                <w:lang w:val="en-US" w:eastAsia="zh-CN"/>
              </w:rPr>
              <w:t>月</w:t>
            </w:r>
            <w:r>
              <w:rPr>
                <w:rFonts w:hint="eastAsia" w:ascii="楷体" w:hAnsi="楷体" w:eastAsia="楷体" w:cs="楷体"/>
                <w:b/>
                <w:szCs w:val="24"/>
              </w:rPr>
              <w:t>环比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山东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19.5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-3.47%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广东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20.1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20.4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-1.47%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北京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19.7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20.2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-2.48%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20.1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20.5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-1.95%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南昌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19.8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20.4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-2.94%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上海</w:t>
            </w:r>
          </w:p>
        </w:tc>
        <w:tc>
          <w:tcPr>
            <w:tcW w:w="27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19.8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20.4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-2.94%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00" w:beforeLines="0" w:beforeAutospacing="1" w:after="100" w:afterAutospacing="1" w:line="300" w:lineRule="auto"/>
        <w:ind w:left="0" w:leftChars="0" w:firstLine="0" w:firstLineChars="0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default" w:ascii="楷体" w:hAnsi="楷体" w:cs="楷体"/>
          <w:lang w:val="en-US" w:eastAsia="zh-CN"/>
        </w:rPr>
      </w:pPr>
      <w:r>
        <w:rPr>
          <w:rFonts w:hint="eastAsia" w:ascii="楷体" w:hAnsi="楷体" w:cs="楷体"/>
          <w:lang w:val="en-US" w:eastAsia="zh-CN"/>
        </w:rPr>
        <w:t>本月蛋氨酸市场均价19.8元/公斤，环比降幅2.94%。蛋氨酸市场均价19.8元/公斤，环比下调1.00%.市场报价逐渐趋弱下调至19.3-20.3元/公斤之间，国产品牌在19.3-19.8元/公斤之间，进口品牌在19.7-20.3元/公斤之间。供应端国内企业正常生产，主发前期订单为主。11月进口大增下国内供应增加较多。月内市场询单较少，下游库存逐渐积累，需求持续弱势下整体价格弱稳运行为主，国内市场心态偏弱，多数不看好后市。供需博弈下关注企业发货及排期情况，前期订单签订较多，致使市场价格偏弱调整，购销氛围一般，下游多观望价格走势，成交偏淡，短期预计蛋氨酸价格偏弱震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00" w:beforeLines="0" w:beforeAutospacing="1" w:after="100" w:afterAutospacing="1" w:line="300" w:lineRule="auto"/>
        <w:ind w:firstLine="480"/>
        <w:textAlignment w:val="auto"/>
        <w:rPr>
          <w:rFonts w:hint="default" w:ascii="楷体" w:hAnsi="楷体" w:eastAsia="楷体" w:cs="楷体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31" w:name="_Toc4924"/>
      <w:bookmarkStart w:id="32" w:name="_Toc14163"/>
      <w:r>
        <w:rPr>
          <w:rFonts w:hint="eastAsia"/>
          <w:lang w:val="en-US" w:eastAsia="zh-CN"/>
        </w:rPr>
        <w:t>2.4 色氨酸价格分析</w:t>
      </w:r>
      <w:bookmarkEnd w:id="31"/>
      <w:bookmarkEnd w:id="32"/>
    </w:p>
    <w:p>
      <w:pPr>
        <w:bidi w:val="0"/>
        <w:jc w:val="center"/>
        <w:rPr>
          <w:rFonts w:hint="eastAsia" w:ascii="楷体" w:hAnsi="楷体" w:eastAsia="楷体" w:cs="楷体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color w:val="023985"/>
          <w:kern w:val="2"/>
          <w:sz w:val="24"/>
          <w:szCs w:val="28"/>
          <w:lang w:val="en-US" w:eastAsia="zh-CN" w:bidi="ar-SA"/>
        </w:rPr>
        <w:t>表</w:t>
      </w: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5</w:t>
      </w:r>
      <w:r>
        <w:rPr>
          <w:color w:val="023985"/>
        </w:rPr>
        <w:t xml:space="preserve"> </w:t>
      </w:r>
      <w:r>
        <w:rPr>
          <w:rFonts w:hint="eastAsia" w:ascii="楷体" w:hAnsi="楷体" w:eastAsia="楷体" w:cs="楷体"/>
          <w:b/>
          <w:bCs/>
          <w:color w:val="023985"/>
          <w:kern w:val="2"/>
          <w:sz w:val="24"/>
          <w:szCs w:val="28"/>
          <w:lang w:val="en-US" w:eastAsia="zh-CN" w:bidi="ar-SA"/>
        </w:rPr>
        <w:t>色氨酸国内市场价格</w:t>
      </w:r>
    </w:p>
    <w:p>
      <w:pPr>
        <w:bidi w:val="0"/>
        <w:jc w:val="right"/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单位：元/公斤</w:t>
      </w:r>
    </w:p>
    <w:tbl>
      <w:tblPr>
        <w:tblStyle w:val="25"/>
        <w:tblW w:w="90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2798"/>
        <w:gridCol w:w="2376"/>
        <w:gridCol w:w="1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  <w:t>省份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2022/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2022/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楷体" w:cs="Times New Roman"/>
                <w:b/>
                <w:szCs w:val="24"/>
              </w:rPr>
              <w:t>/</w:t>
            </w:r>
            <w:r>
              <w:rPr>
                <w:rFonts w:hint="eastAsia" w:cs="Times New Roman"/>
                <w:b/>
                <w:szCs w:val="24"/>
                <w:lang w:val="en-US" w:eastAsia="zh-CN"/>
              </w:rPr>
              <w:t>30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cs="楷体"/>
                <w:b/>
                <w:szCs w:val="24"/>
                <w:lang w:val="en-US" w:eastAsia="zh-CN"/>
              </w:rPr>
              <w:t>月</w:t>
            </w:r>
            <w:r>
              <w:rPr>
                <w:rFonts w:hint="eastAsia" w:ascii="楷体" w:hAnsi="楷体" w:eastAsia="楷体" w:cs="楷体"/>
                <w:b/>
                <w:szCs w:val="24"/>
              </w:rPr>
              <w:t>环比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山东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65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-4.41%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广东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Cs w:val="24"/>
                <w:lang w:val="en-US" w:eastAsia="zh-CN"/>
              </w:rPr>
              <w:t>0.00</w:t>
            </w:r>
            <w:r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北京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66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-2.94%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Cs w:val="24"/>
                <w:lang w:val="en-US" w:eastAsia="zh-CN"/>
              </w:rPr>
              <w:t>0.00</w:t>
            </w:r>
            <w:r>
              <w:rPr>
                <w:rFonts w:hint="default" w:cs="Times New Roman"/>
                <w:b w:val="0"/>
                <w:bCs/>
                <w:color w:val="auto"/>
                <w:szCs w:val="24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南昌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67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-1.47%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上海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67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68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  <w:t>-1.47%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cs="楷体"/>
                <w:b/>
                <w:color w:val="FFFFFF" w:themeColor="background1"/>
                <w:kern w:val="0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国内缬氨酸</w:t>
            </w:r>
          </w:p>
        </w:tc>
        <w:tc>
          <w:tcPr>
            <w:tcW w:w="2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25.5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0" w:firstLineChars="200"/>
              <w:jc w:val="center"/>
              <w:textAlignment w:val="auto"/>
              <w:rPr>
                <w:rFonts w:hint="default" w:cs="Times New Roman"/>
                <w:szCs w:val="24"/>
                <w:lang w:val="en-US" w:eastAsia="zh-CN"/>
              </w:rPr>
            </w:pPr>
            <w:r>
              <w:rPr>
                <w:rFonts w:hint="eastAsia" w:cs="Times New Roman"/>
                <w:szCs w:val="24"/>
                <w:lang w:val="en-US" w:eastAsia="zh-CN"/>
              </w:rPr>
              <w:t>24.5</w:t>
            </w:r>
          </w:p>
        </w:tc>
        <w:tc>
          <w:tcPr>
            <w:tcW w:w="1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cs="Times New Roman"/>
                <w:b w:val="0"/>
                <w:bCs/>
                <w:color w:val="00B050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C00000"/>
                <w:szCs w:val="24"/>
                <w:lang w:val="en-US" w:eastAsia="zh-CN"/>
              </w:rPr>
              <w:t>4.08%</w:t>
            </w:r>
          </w:p>
        </w:tc>
      </w:tr>
    </w:tbl>
    <w:p>
      <w:pPr>
        <w:spacing w:before="120" w:after="120"/>
        <w:ind w:firstLine="480"/>
        <w:jc w:val="right"/>
        <w:rPr>
          <w:rStyle w:val="60"/>
          <w:rFonts w:hint="eastAsia" w:cs="Times New Roman"/>
          <w:color w:val="7F7F7F"/>
          <w:sz w:val="18"/>
          <w:szCs w:val="18"/>
        </w:rPr>
      </w:pPr>
      <w:r>
        <w:rPr>
          <w:rStyle w:val="60"/>
          <w:rFonts w:hint="eastAsia" w:cs="Times New Roman"/>
          <w:color w:val="7F7F7F"/>
          <w:sz w:val="18"/>
          <w:szCs w:val="18"/>
        </w:rPr>
        <w:t>数据来源：钢联数据</w:t>
      </w:r>
    </w:p>
    <w:p>
      <w:pPr>
        <w:rPr>
          <w:rFonts w:hint="eastAsia" w:ascii="楷体" w:hAnsi="楷体" w:cs="楷体"/>
          <w:lang w:val="en-US" w:eastAsia="zh-CN"/>
        </w:rPr>
      </w:pPr>
      <w:r>
        <w:rPr>
          <w:rFonts w:hint="eastAsia" w:ascii="楷体" w:hAnsi="楷体" w:cs="楷体"/>
          <w:lang w:val="en-US" w:eastAsia="zh-CN"/>
        </w:rPr>
        <w:t>色氨酸方面，本月色氨酸市场均价67元/公斤，环比降幅1.47%。厂家报价偏稳运行，市场价格偏强运行在65-68元/公斤之间。供应端企业逐渐复产，产量环比或将增加，主发订单为主，需求端下游企业随采随用居多，整体偏弱运行，且豆粕价格趋弱下调，上涨动力不足下难以提振色氨酸价格，短期预计偏弱运行。缬氨酸方面，本月缬氨酸市场均价25.5元/公斤，环比增幅4.08%。缬氨酸厂家报价暂稳，市场价格偏强运行。供应端生产正常，现货供应趋紧运行，需求端多有备货需求，多数库存偏低，短期预计缬氨酸价格稳定偏强运行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楷体" w:hAnsi="楷体" w:eastAsia="楷体" w:cs="楷体"/>
          <w:lang w:val="en-US" w:eastAsia="zh-CN"/>
        </w:rPr>
      </w:pPr>
    </w:p>
    <w:p>
      <w:pPr>
        <w:pStyle w:val="3"/>
        <w:numPr>
          <w:ilvl w:val="0"/>
          <w:numId w:val="1"/>
        </w:numPr>
        <w:rPr>
          <w:rFonts w:hint="eastAsia"/>
          <w:color w:val="023985"/>
          <w:sz w:val="28"/>
          <w:szCs w:val="28"/>
          <w:lang w:val="en-US" w:eastAsia="zh-CN"/>
        </w:rPr>
      </w:pPr>
      <w:bookmarkStart w:id="33" w:name="_Toc32058"/>
      <w:bookmarkStart w:id="34" w:name="_Toc6680"/>
      <w:r>
        <w:rPr>
          <w:rFonts w:hint="eastAsia"/>
          <w:color w:val="023985"/>
          <w:sz w:val="28"/>
          <w:szCs w:val="28"/>
          <w:lang w:val="en-US" w:eastAsia="zh-CN"/>
        </w:rPr>
        <w:t>氨基酸供应分析</w:t>
      </w:r>
      <w:bookmarkEnd w:id="33"/>
      <w:bookmarkEnd w:id="34"/>
    </w:p>
    <w:p>
      <w:pPr>
        <w:ind w:firstLine="0" w:firstLineChars="0"/>
        <w:jc w:val="center"/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  <w:drawing>
          <wp:inline distT="0" distB="0" distL="114300" distR="114300">
            <wp:extent cx="4876800" cy="2952750"/>
            <wp:effectExtent l="0" t="0" r="0" b="0"/>
            <wp:docPr id="4" name="图片 4" descr="167049278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04927884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beforeAutospacing="0" w:after="120" w:afterLines="50" w:afterAutospacing="0" w:line="360" w:lineRule="auto"/>
        <w:ind w:firstLine="480"/>
        <w:jc w:val="right"/>
        <w:rPr>
          <w:rFonts w:hint="eastAsia" w:cs="Times New Roman" w:eastAsiaTheme="minorEastAsia"/>
          <w:color w:val="7F7F7F"/>
          <w:sz w:val="18"/>
          <w:szCs w:val="18"/>
        </w:rPr>
      </w:pPr>
      <w:r>
        <w:rPr>
          <w:rFonts w:hint="eastAsia" w:ascii="楷体" w:hAnsi="楷体" w:eastAsia="楷体" w:cs="楷体"/>
          <w:i/>
          <w:iCs/>
          <w:color w:val="7F7F7F"/>
          <w:sz w:val="18"/>
          <w:szCs w:val="18"/>
        </w:rPr>
        <w:t>数据来源：钢联数据</w:t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图</w:t>
      </w:r>
      <w:r>
        <w:rPr>
          <w:rFonts w:hint="default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 xml:space="preserve">2 </w:t>
      </w: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国内氨基酸企业开机率走势图</w:t>
      </w:r>
    </w:p>
    <w:p>
      <w:pPr>
        <w:spacing w:before="120" w:after="120"/>
        <w:ind w:firstLine="480"/>
        <w:rPr>
          <w:rFonts w:hint="eastAsia" w:ascii="楷体" w:hAnsi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本</w:t>
      </w:r>
      <w:r>
        <w:rPr>
          <w:rFonts w:hint="eastAsia" w:ascii="楷体" w:hAnsi="楷体" w:cs="楷体"/>
          <w:lang w:val="en-US" w:eastAsia="zh-CN"/>
        </w:rPr>
        <w:t>月</w:t>
      </w:r>
      <w:r>
        <w:rPr>
          <w:rFonts w:hint="eastAsia" w:ascii="楷体" w:hAnsi="楷体" w:eastAsia="楷体" w:cs="楷体"/>
          <w:lang w:val="en-US" w:eastAsia="zh-CN"/>
        </w:rPr>
        <w:t>国内氨基酸各产品开机</w:t>
      </w:r>
      <w:r>
        <w:rPr>
          <w:rFonts w:hint="eastAsia" w:ascii="楷体" w:hAnsi="楷体" w:cs="楷体"/>
          <w:lang w:val="en-US" w:eastAsia="zh-CN"/>
        </w:rPr>
        <w:t>小幅提升运行</w:t>
      </w:r>
      <w:r>
        <w:rPr>
          <w:rFonts w:hint="eastAsia" w:ascii="楷体" w:hAnsi="楷体" w:eastAsia="楷体" w:cs="楷体"/>
          <w:lang w:val="en-US" w:eastAsia="zh-CN"/>
        </w:rPr>
        <w:t>。赖氨酸开工率</w:t>
      </w:r>
      <w:r>
        <w:rPr>
          <w:rFonts w:hint="eastAsia" w:ascii="楷体" w:hAnsi="楷体" w:cs="楷体"/>
          <w:lang w:val="en-US" w:eastAsia="zh-CN"/>
        </w:rPr>
        <w:t>67</w:t>
      </w:r>
      <w:r>
        <w:rPr>
          <w:rFonts w:hint="default" w:ascii="Times New Roman" w:hAnsi="Times New Roman" w:eastAsia="楷体" w:cs="Times New Roman"/>
          <w:lang w:val="en-US" w:eastAsia="zh-CN"/>
        </w:rPr>
        <w:t>%</w:t>
      </w:r>
      <w:r>
        <w:rPr>
          <w:rFonts w:hint="eastAsia" w:ascii="楷体" w:hAnsi="楷体" w:cs="楷体"/>
          <w:lang w:val="en-US" w:eastAsia="zh-CN"/>
        </w:rPr>
        <w:t>，</w:t>
      </w:r>
      <w:r>
        <w:rPr>
          <w:rFonts w:hint="eastAsia" w:ascii="楷体" w:hAnsi="楷体" w:eastAsia="楷体" w:cs="楷体"/>
          <w:lang w:val="en-US" w:eastAsia="zh-CN"/>
        </w:rPr>
        <w:t>厂家</w:t>
      </w:r>
      <w:r>
        <w:rPr>
          <w:rFonts w:hint="eastAsia" w:ascii="楷体" w:hAnsi="楷体" w:cs="楷体"/>
          <w:lang w:val="en-US" w:eastAsia="zh-CN"/>
        </w:rPr>
        <w:t>逐渐复产，整体开机率有所上调</w:t>
      </w:r>
      <w:r>
        <w:rPr>
          <w:rFonts w:hint="eastAsia" w:ascii="楷体" w:hAnsi="楷体" w:eastAsia="楷体" w:cs="楷体"/>
          <w:lang w:val="en-US" w:eastAsia="zh-CN"/>
        </w:rPr>
        <w:t>；苏氨酸开工率为</w:t>
      </w:r>
      <w:r>
        <w:rPr>
          <w:rFonts w:hint="eastAsia" w:ascii="楷体" w:hAnsi="楷体" w:cs="楷体"/>
          <w:lang w:val="en-US" w:eastAsia="zh-CN"/>
        </w:rPr>
        <w:t>70</w:t>
      </w:r>
      <w:r>
        <w:rPr>
          <w:rFonts w:hint="default" w:ascii="Times New Roman" w:hAnsi="Times New Roman" w:eastAsia="楷体" w:cs="Times New Roman"/>
          <w:lang w:val="en-US" w:eastAsia="zh-CN"/>
        </w:rPr>
        <w:t>%</w:t>
      </w:r>
      <w:r>
        <w:rPr>
          <w:rFonts w:hint="eastAsia" w:ascii="楷体" w:hAnsi="楷体" w:eastAsia="楷体" w:cs="楷体"/>
          <w:lang w:val="en-US" w:eastAsia="zh-CN"/>
        </w:rPr>
        <w:t>，</w:t>
      </w:r>
      <w:r>
        <w:rPr>
          <w:rFonts w:hint="eastAsia" w:ascii="楷体" w:hAnsi="楷体" w:cs="楷体"/>
          <w:lang w:val="en-US" w:eastAsia="zh-CN"/>
        </w:rPr>
        <w:t>厂家正常生产，整体开机正常运行</w:t>
      </w:r>
      <w:r>
        <w:rPr>
          <w:rFonts w:hint="eastAsia" w:ascii="楷体" w:hAnsi="楷体" w:eastAsia="楷体" w:cs="楷体"/>
          <w:lang w:val="en-US" w:eastAsia="zh-CN"/>
        </w:rPr>
        <w:t>；蛋氨酸开机率</w:t>
      </w:r>
      <w:r>
        <w:rPr>
          <w:rFonts w:hint="eastAsia" w:ascii="楷体" w:hAnsi="楷体" w:cs="楷体"/>
          <w:lang w:val="en-US" w:eastAsia="zh-CN"/>
        </w:rPr>
        <w:t>80</w:t>
      </w:r>
      <w:r>
        <w:rPr>
          <w:rFonts w:hint="default" w:ascii="Times New Roman" w:hAnsi="Times New Roman" w:eastAsia="楷体" w:cs="Times New Roman"/>
          <w:lang w:val="en-US" w:eastAsia="zh-CN"/>
        </w:rPr>
        <w:t>%</w:t>
      </w:r>
      <w:r>
        <w:rPr>
          <w:rFonts w:hint="eastAsia" w:cs="Times New Roman"/>
          <w:lang w:val="en-US" w:eastAsia="zh-CN"/>
        </w:rPr>
        <w:t>，个别厂家执行检修计划</w:t>
      </w:r>
      <w:r>
        <w:rPr>
          <w:rFonts w:hint="eastAsia" w:ascii="楷体" w:hAnsi="楷体" w:eastAsia="楷体" w:cs="楷体"/>
          <w:lang w:val="en-US" w:eastAsia="zh-CN"/>
        </w:rPr>
        <w:t>，整体开工</w:t>
      </w:r>
      <w:r>
        <w:rPr>
          <w:rFonts w:hint="eastAsia" w:ascii="楷体" w:hAnsi="楷体" w:cs="楷体"/>
          <w:lang w:val="en-US" w:eastAsia="zh-CN"/>
        </w:rPr>
        <w:t>稳定运行</w:t>
      </w:r>
      <w:r>
        <w:rPr>
          <w:rFonts w:hint="eastAsia" w:ascii="楷体" w:hAnsi="楷体" w:eastAsia="楷体" w:cs="楷体"/>
          <w:lang w:val="en-US" w:eastAsia="zh-CN"/>
        </w:rPr>
        <w:t>；色氨酸开工率为</w:t>
      </w:r>
      <w:r>
        <w:rPr>
          <w:rFonts w:hint="eastAsia" w:ascii="楷体" w:hAnsi="楷体" w:cs="楷体"/>
          <w:lang w:val="en-US" w:eastAsia="zh-CN"/>
        </w:rPr>
        <w:t>56</w:t>
      </w:r>
      <w:r>
        <w:rPr>
          <w:rFonts w:hint="default" w:ascii="Times New Roman" w:hAnsi="Times New Roman" w:eastAsia="楷体" w:cs="Times New Roman"/>
          <w:lang w:val="en-US" w:eastAsia="zh-CN"/>
        </w:rPr>
        <w:t>%</w:t>
      </w:r>
      <w:r>
        <w:rPr>
          <w:rFonts w:hint="eastAsia" w:ascii="楷体" w:hAnsi="楷体" w:eastAsia="楷体" w:cs="楷体"/>
          <w:lang w:val="en-US" w:eastAsia="zh-CN"/>
        </w:rPr>
        <w:t>，</w:t>
      </w:r>
      <w:r>
        <w:rPr>
          <w:rFonts w:hint="eastAsia" w:ascii="楷体" w:hAnsi="楷体" w:cs="楷体"/>
          <w:lang w:val="en-US" w:eastAsia="zh-CN"/>
        </w:rPr>
        <w:t>部分企业开机低位，开机率偏低震荡运行。</w:t>
      </w:r>
    </w:p>
    <w:p>
      <w:pPr>
        <w:spacing w:before="120" w:after="120"/>
        <w:ind w:firstLine="480"/>
        <w:rPr>
          <w:rFonts w:hint="eastAsia" w:ascii="楷体" w:hAnsi="楷体" w:cs="楷体"/>
          <w:lang w:val="en-US" w:eastAsia="zh-CN"/>
        </w:rPr>
      </w:pPr>
    </w:p>
    <w:p>
      <w:pPr>
        <w:pStyle w:val="3"/>
        <w:numPr>
          <w:ilvl w:val="0"/>
          <w:numId w:val="1"/>
        </w:numPr>
        <w:rPr>
          <w:rFonts w:hint="eastAsia"/>
          <w:color w:val="023985"/>
          <w:sz w:val="28"/>
          <w:szCs w:val="28"/>
          <w:lang w:val="en-US" w:eastAsia="zh-CN"/>
        </w:rPr>
      </w:pPr>
      <w:bookmarkStart w:id="35" w:name="_Toc17442"/>
      <w:bookmarkStart w:id="36" w:name="_Toc11206"/>
      <w:bookmarkStart w:id="37" w:name="_Toc77846527"/>
      <w:r>
        <w:rPr>
          <w:rFonts w:hint="eastAsia"/>
          <w:color w:val="023985"/>
          <w:sz w:val="28"/>
          <w:szCs w:val="28"/>
          <w:lang w:val="en-US" w:eastAsia="zh-CN"/>
        </w:rPr>
        <w:t>氨基酸需求分析</w:t>
      </w:r>
      <w:bookmarkEnd w:id="35"/>
      <w:bookmarkEnd w:id="36"/>
      <w:bookmarkEnd w:id="37"/>
    </w:p>
    <w:tbl>
      <w:tblPr>
        <w:tblStyle w:val="27"/>
        <w:tblW w:w="945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7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bookmarkStart w:id="38" w:name="_Toc77846530"/>
            <w:r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产品</w:t>
            </w:r>
          </w:p>
        </w:tc>
        <w:tc>
          <w:tcPr>
            <w:tcW w:w="7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下游市场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2" w:firstLineChars="200"/>
              <w:textAlignment w:val="auto"/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赖氨酸</w:t>
            </w:r>
          </w:p>
        </w:tc>
        <w:tc>
          <w:tcPr>
            <w:tcW w:w="7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textAlignment w:val="auto"/>
              <w:rPr>
                <w:rFonts w:hint="default" w:ascii="楷体" w:hAnsi="楷体" w:eastAsia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  <w:t>下游备货多在1-2月左右库存，部分地区小型饲料厂有少量备货需求。国外需求大减，出口数量减少。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2" w:firstLineChars="200"/>
              <w:textAlignment w:val="auto"/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苏氨酸</w:t>
            </w:r>
          </w:p>
        </w:tc>
        <w:tc>
          <w:tcPr>
            <w:tcW w:w="7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textAlignment w:val="auto"/>
              <w:rPr>
                <w:rFonts w:hint="default" w:ascii="楷体" w:hAnsi="楷体" w:eastAsia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  <w:t>下游备货多在1-2月左右库存，国外需求减少，11月出口环比减少。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482" w:firstLineChars="200"/>
              <w:textAlignment w:val="auto"/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蛋氨酸</w:t>
            </w:r>
          </w:p>
        </w:tc>
        <w:tc>
          <w:tcPr>
            <w:tcW w:w="7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textAlignment w:val="auto"/>
              <w:rPr>
                <w:rFonts w:hint="default" w:ascii="楷体" w:hAnsi="楷体" w:eastAsia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  <w:t>中小型饲料企业逐渐补库，整体库存1-2月左右。11月蛋氨酸出口/进口环比增加，关注12月变化。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2398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left="0" w:leftChars="0" w:firstLine="0" w:firstLineChars="0"/>
              <w:textAlignment w:val="auto"/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色氨酸</w:t>
            </w:r>
            <w:r>
              <w:rPr>
                <w:rFonts w:hint="eastAsia" w:ascii="楷体" w:hAnsi="楷体" w:cs="楷体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、缬氨酸</w:t>
            </w:r>
          </w:p>
        </w:tc>
        <w:tc>
          <w:tcPr>
            <w:tcW w:w="7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 w:beforeAutospacing="0" w:after="120" w:afterLines="50" w:afterAutospacing="0" w:line="300" w:lineRule="auto"/>
              <w:ind w:firstLine="0" w:firstLineChars="0"/>
              <w:textAlignment w:val="auto"/>
              <w:rPr>
                <w:rFonts w:hint="eastAsia" w:ascii="楷体" w:hAnsi="楷体" w:eastAsia="楷体" w:cs="楷体"/>
                <w:color w:val="000000" w:themeColor="tex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cs="楷体"/>
                <w:color w:val="000000" w:themeColor="text1" w:themeShade="BF"/>
                <w:kern w:val="0"/>
                <w:sz w:val="24"/>
                <w:szCs w:val="24"/>
                <w:lang w:val="en-US" w:eastAsia="zh-CN"/>
              </w:rPr>
              <w:t>豆粕价格震荡趋弱运行，需求量平稳增加，下游多观望为主，但缬氨酸现货依旧紧缺</w:t>
            </w:r>
            <w:r>
              <w:rPr>
                <w:rFonts w:hint="eastAsia" w:ascii="楷体" w:hAnsi="楷体" w:eastAsia="楷体" w:cs="楷体"/>
                <w:color w:val="000000" w:themeColor="text1" w:themeShade="BF"/>
                <w:kern w:val="0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spacing w:before="120" w:after="120"/>
        <w:ind w:firstLine="480"/>
        <w:jc w:val="right"/>
        <w:rPr>
          <w:rStyle w:val="60"/>
          <w:rFonts w:hint="eastAsia" w:cs="Times New Roman"/>
          <w:color w:val="7F7F7F"/>
          <w:sz w:val="18"/>
          <w:szCs w:val="18"/>
        </w:rPr>
      </w:pPr>
      <w:r>
        <w:rPr>
          <w:rStyle w:val="60"/>
          <w:rFonts w:hint="eastAsia" w:cs="Times New Roman"/>
          <w:color w:val="7F7F7F"/>
          <w:sz w:val="18"/>
          <w:szCs w:val="18"/>
        </w:rPr>
        <w:t>数据来源：钢联数据</w:t>
      </w:r>
    </w:p>
    <w:p>
      <w:pPr>
        <w:pStyle w:val="3"/>
        <w:numPr>
          <w:ilvl w:val="0"/>
          <w:numId w:val="2"/>
        </w:numPr>
        <w:spacing w:before="240" w:after="240"/>
        <w:rPr>
          <w:rFonts w:hint="default"/>
          <w:lang w:val="en-US" w:eastAsia="zh-CN"/>
        </w:rPr>
      </w:pPr>
      <w:bookmarkStart w:id="39" w:name="_Toc30276"/>
      <w:r>
        <w:rPr>
          <w:rFonts w:hint="eastAsia"/>
          <w:color w:val="023985"/>
          <w:sz w:val="28"/>
          <w:szCs w:val="28"/>
          <w:lang w:val="en-US" w:eastAsia="zh-CN"/>
        </w:rPr>
        <w:t>氨基酸海关数据分析</w:t>
      </w:r>
      <w:bookmarkEnd w:id="39"/>
    </w:p>
    <w:p>
      <w:pPr>
        <w:pStyle w:val="4"/>
        <w:spacing w:before="120" w:after="120"/>
        <w:rPr>
          <w:rFonts w:hint="default"/>
          <w:color w:val="023985"/>
          <w:sz w:val="24"/>
          <w:szCs w:val="24"/>
          <w:lang w:val="en-US" w:eastAsia="zh-CN"/>
        </w:rPr>
      </w:pPr>
      <w:bookmarkStart w:id="40" w:name="_Toc6461"/>
      <w:r>
        <w:rPr>
          <w:rFonts w:hint="eastAsia"/>
          <w:color w:val="023985"/>
          <w:sz w:val="24"/>
          <w:szCs w:val="24"/>
          <w:lang w:val="en-US" w:eastAsia="zh-CN"/>
        </w:rPr>
        <w:t>5.1赖氨酸盐酸盐及酯</w:t>
      </w:r>
      <w:bookmarkEnd w:id="40"/>
    </w:p>
    <w:p>
      <w:pPr>
        <w:pStyle w:val="22"/>
        <w:keepNext w:val="0"/>
        <w:keepLines w:val="0"/>
        <w:widowControl/>
        <w:suppressLineNumbers w:val="0"/>
      </w:pPr>
      <w:r>
        <w:t>据</w:t>
      </w:r>
      <w:r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  <w:t>中国海</w:t>
      </w:r>
      <w:r>
        <w:t>关数据统计，2022年11月中国赖氨酸与赖氨酸盐及酯的出口量约为57733吨，环比降幅22%，同比降幅28%。2022年1-11月我国赖氨酸与赖氨酸盐及酯的出口量约为865211吨，同比增幅19.12%。</w:t>
      </w:r>
    </w:p>
    <w:p>
      <w:pPr>
        <w:spacing w:before="120" w:after="120"/>
        <w:ind w:firstLine="480"/>
        <w:jc w:val="center"/>
        <w:rPr>
          <w:rFonts w:hint="default" w:ascii="楷体" w:hAnsi="楷体" w:eastAsia="楷体" w:cs="楷体"/>
          <w:lang w:val="en-US" w:eastAsia="zh-CN"/>
        </w:rPr>
      </w:pPr>
      <w:r>
        <w:drawing>
          <wp:inline distT="0" distB="0" distL="114300" distR="114300">
            <wp:extent cx="4677410" cy="2771775"/>
            <wp:effectExtent l="0" t="0" r="8890" b="9525"/>
            <wp:docPr id="11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default" w:ascii="Times New Roman" w:hAnsi="Times New Roman" w:eastAsia="楷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  <w:t>图3 中国赖氨酸盐及酯出口量月度对比走势图</w:t>
      </w:r>
    </w:p>
    <w:p>
      <w:pPr>
        <w:pStyle w:val="4"/>
        <w:spacing w:before="120" w:after="120"/>
        <w:jc w:val="left"/>
        <w:rPr>
          <w:rFonts w:hint="eastAsia"/>
          <w:color w:val="023985"/>
          <w:sz w:val="24"/>
          <w:szCs w:val="24"/>
          <w:lang w:val="en-US" w:eastAsia="zh-CN"/>
        </w:rPr>
      </w:pPr>
      <w:bookmarkStart w:id="41" w:name="_Toc23139"/>
      <w:r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  <w:t>5.2</w:t>
      </w:r>
      <w:r>
        <w:rPr>
          <w:rFonts w:hint="eastAsia"/>
          <w:color w:val="023985"/>
          <w:sz w:val="24"/>
          <w:szCs w:val="24"/>
          <w:lang w:val="en-US" w:eastAsia="zh-CN"/>
        </w:rPr>
        <w:t>蛋氨酸</w:t>
      </w:r>
      <w:bookmarkEnd w:id="41"/>
    </w:p>
    <w:p>
      <w:pPr>
        <w:pStyle w:val="22"/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  <w:t>据中国海关数据统计，2022年11月，我国固体蛋氨酸进口量约为23551吨，环比增幅43.52%；同比增幅59.8%。2022年1-11月，我国固体蛋氨酸进口量约为164064吨， 同比降幅10.13%。</w:t>
      </w:r>
    </w:p>
    <w:p>
      <w:pPr>
        <w:pStyle w:val="22"/>
        <w:keepNext w:val="0"/>
        <w:keepLines w:val="0"/>
        <w:widowControl/>
        <w:suppressLineNumbers w:val="0"/>
        <w:jc w:val="left"/>
      </w:pPr>
      <w:r>
        <w:rPr>
          <w:rFonts w:hint="eastAsia" w:cs="宋体"/>
          <w:kern w:val="0"/>
          <w:sz w:val="24"/>
          <w:szCs w:val="24"/>
          <w:lang w:val="en-US" w:eastAsia="zh-CN" w:bidi="ar-SA"/>
        </w:rPr>
        <w:t xml:space="preserve">   </w:t>
      </w:r>
      <w:r>
        <w:drawing>
          <wp:inline distT="0" distB="0" distL="114300" distR="114300">
            <wp:extent cx="4676775" cy="2743200"/>
            <wp:effectExtent l="0" t="0" r="0" b="0"/>
            <wp:docPr id="2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pStyle w:val="22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default" w:cstheme="minorBidi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图4 中国蛋氨酸进口量月度对比走势图</w:t>
      </w:r>
    </w:p>
    <w:p>
      <w:pPr>
        <w:pStyle w:val="22"/>
        <w:keepNext w:val="0"/>
        <w:keepLines w:val="0"/>
        <w:widowControl/>
        <w:suppressLineNumbers w:val="0"/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楷体" w:cs="宋体"/>
          <w:kern w:val="0"/>
          <w:sz w:val="24"/>
          <w:szCs w:val="24"/>
          <w:lang w:val="en-US" w:eastAsia="zh-CN" w:bidi="ar-SA"/>
        </w:rPr>
        <w:t>据中国海关数据统计，2022年11月，我国固体蛋氨酸出口量约为8706吨，环比增幅40.26%，同比增幅28.28%。2022年1-11月，我国固体蛋氨酸出口量约为109366吨，同比增幅43.03%。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76775" cy="2743200"/>
            <wp:effectExtent l="0" t="0" r="0" b="0"/>
            <wp:docPr id="1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default" w:cstheme="minorBidi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图5中国蛋氨酸出口量月度对比走势图</w:t>
      </w:r>
    </w:p>
    <w:p>
      <w:pPr>
        <w:pStyle w:val="4"/>
        <w:spacing w:before="120" w:after="120"/>
        <w:rPr>
          <w:rFonts w:hint="eastAsia"/>
          <w:color w:val="023985"/>
          <w:sz w:val="24"/>
          <w:szCs w:val="24"/>
          <w:lang w:val="en-US" w:eastAsia="zh-CN"/>
        </w:rPr>
      </w:pPr>
      <w:bookmarkStart w:id="42" w:name="_Toc22062"/>
      <w:r>
        <w:rPr>
          <w:rFonts w:hint="eastAsia"/>
          <w:color w:val="023985"/>
          <w:sz w:val="24"/>
          <w:szCs w:val="24"/>
          <w:lang w:val="en-US" w:eastAsia="zh-CN"/>
        </w:rPr>
        <w:t>5.3苏氨酸</w:t>
      </w:r>
      <w:bookmarkEnd w:id="42"/>
    </w:p>
    <w:p>
      <w:pPr>
        <w:pStyle w:val="22"/>
        <w:keepNext w:val="0"/>
        <w:keepLines w:val="0"/>
        <w:widowControl/>
        <w:suppressLineNumbers w:val="0"/>
        <w:rPr>
          <w:rFonts w:ascii="Times New Roman" w:hAnsi="Times New Roman" w:eastAsia="楷体" w:cstheme="minorBidi"/>
          <w:kern w:val="2"/>
          <w:sz w:val="24"/>
          <w:szCs w:val="22"/>
          <w:lang w:val="en-US" w:eastAsia="zh-CN" w:bidi="ar-SA"/>
        </w:rPr>
      </w:pPr>
      <w:r>
        <w:rPr>
          <w:rFonts w:ascii="Times New Roman" w:hAnsi="Times New Roman" w:eastAsia="楷体" w:cstheme="minorBidi"/>
          <w:kern w:val="2"/>
          <w:sz w:val="24"/>
          <w:szCs w:val="22"/>
          <w:lang w:val="en-US" w:eastAsia="zh-CN" w:bidi="ar-SA"/>
        </w:rPr>
        <w:t>据中国海关数据统计，2022年11月中国苏氨酸出口量37638吨，环比降幅5.94%，同比降幅35.51%。2022年1-11月，我国苏氨酸出口量约为504409吨，</w:t>
      </w:r>
      <w:r>
        <w:rPr>
          <w:rFonts w:ascii="Times New Roman" w:hAnsi="Times New Roman" w:eastAsia="楷体" w:cstheme="minorBidi"/>
          <w:kern w:val="2"/>
          <w:sz w:val="24"/>
          <w:szCs w:val="22"/>
          <w:lang w:val="en-US" w:eastAsia="zh-CN" w:bidi="ar-SA"/>
        </w:rPr>
        <w:t>同比降幅1.9%。</w:t>
      </w:r>
    </w:p>
    <w:p>
      <w:pPr>
        <w:pStyle w:val="22"/>
        <w:keepNext w:val="0"/>
        <w:keepLines w:val="0"/>
        <w:widowControl/>
        <w:suppressLineNumbers w:val="0"/>
        <w:rPr>
          <w:rFonts w:hint="eastAsia" w:ascii="Times New Roman" w:hAnsi="Times New Roman" w:eastAsia="楷体" w:cstheme="minorBidi"/>
          <w:kern w:val="2"/>
          <w:sz w:val="24"/>
          <w:szCs w:val="22"/>
          <w:lang w:val="en-US" w:eastAsia="zh-CN" w:bidi="ar-SA"/>
        </w:rPr>
      </w:pPr>
      <w:r>
        <w:drawing>
          <wp:inline distT="0" distB="0" distL="114300" distR="114300">
            <wp:extent cx="4705350" cy="2743200"/>
            <wp:effectExtent l="0" t="0" r="0" b="0"/>
            <wp:docPr id="12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default" w:cstheme="minorBidi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图6 中国苏氨酸出口量月度对比走势图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bookmarkEnd w:id="38"/>
    <w:p>
      <w:pPr>
        <w:pStyle w:val="3"/>
        <w:numPr>
          <w:ilvl w:val="0"/>
          <w:numId w:val="2"/>
        </w:numPr>
        <w:spacing w:before="240" w:after="240"/>
        <w:rPr>
          <w:rFonts w:hint="default" w:ascii="楷体" w:hAnsi="楷体" w:cs="楷体"/>
          <w:lang w:val="en-US" w:eastAsia="zh-CN"/>
        </w:rPr>
      </w:pPr>
      <w:bookmarkStart w:id="43" w:name="_Toc20298"/>
      <w:bookmarkStart w:id="44" w:name="_Toc77846531"/>
      <w:bookmarkStart w:id="45" w:name="_Toc11460"/>
      <w:r>
        <w:rPr>
          <w:rFonts w:hint="eastAsia"/>
          <w:color w:val="023985"/>
          <w:sz w:val="28"/>
          <w:szCs w:val="28"/>
          <w:lang w:val="en-US" w:eastAsia="zh-CN"/>
        </w:rPr>
        <w:t>相关产品</w:t>
      </w:r>
      <w:bookmarkEnd w:id="43"/>
      <w:bookmarkEnd w:id="44"/>
      <w:bookmarkEnd w:id="45"/>
    </w:p>
    <w:p>
      <w:pPr>
        <w:pStyle w:val="4"/>
        <w:spacing w:before="120" w:after="120"/>
        <w:rPr>
          <w:rFonts w:hint="eastAsia"/>
          <w:color w:val="023985"/>
          <w:sz w:val="24"/>
          <w:szCs w:val="24"/>
          <w:lang w:val="en-US" w:eastAsia="zh-CN"/>
        </w:rPr>
      </w:pPr>
      <w:bookmarkStart w:id="46" w:name="_Toc29715"/>
      <w:bookmarkStart w:id="47" w:name="_Toc23542"/>
      <w:r>
        <w:rPr>
          <w:rFonts w:hint="eastAsia"/>
          <w:color w:val="023985"/>
          <w:sz w:val="24"/>
          <w:szCs w:val="24"/>
          <w:lang w:val="en-US" w:eastAsia="zh-CN"/>
        </w:rPr>
        <w:t>6.1 玉米市场分析</w:t>
      </w:r>
      <w:bookmarkEnd w:id="46"/>
      <w:bookmarkEnd w:id="47"/>
    </w:p>
    <w:p>
      <w:pPr>
        <w:ind w:firstLine="0" w:firstLineChars="0"/>
        <w:jc w:val="center"/>
        <w:rPr>
          <w:lang w:bidi="zh-CN"/>
        </w:rPr>
      </w:pPr>
      <w:r>
        <w:rPr>
          <w:lang w:bidi="zh-CN"/>
        </w:rPr>
        <w:drawing>
          <wp:inline distT="0" distB="0" distL="114300" distR="114300">
            <wp:extent cx="5410200" cy="2876550"/>
            <wp:effectExtent l="0" t="0" r="0" b="0"/>
            <wp:docPr id="24" name="图片 24" descr="66f5de3ad4e1dff66fcb501e3e78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f5de3ad4e1dff66fcb501e3e780e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480"/>
        <w:jc w:val="right"/>
        <w:rPr>
          <w:rStyle w:val="60"/>
          <w:rFonts w:hint="eastAsia" w:cs="Times New Roman"/>
          <w:color w:val="7F7F7F"/>
          <w:sz w:val="18"/>
          <w:szCs w:val="18"/>
        </w:rPr>
      </w:pPr>
      <w:r>
        <w:rPr>
          <w:rStyle w:val="60"/>
          <w:rFonts w:hint="eastAsia" w:cs="Times New Roman"/>
          <w:color w:val="7F7F7F"/>
          <w:sz w:val="18"/>
          <w:szCs w:val="18"/>
        </w:rPr>
        <w:t>数据来源：钢联数据</w:t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图</w:t>
      </w:r>
      <w:r>
        <w:rPr>
          <w:rFonts w:hint="eastAsia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7</w:t>
      </w:r>
      <w:r>
        <w:rPr>
          <w:rFonts w:hint="default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 xml:space="preserve"> </w:t>
      </w:r>
      <w:r>
        <w:rPr>
          <w:rFonts w:hint="eastAsia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>2020-2022年全国玉米均价走势图</w:t>
      </w:r>
    </w:p>
    <w:p>
      <w:pPr>
        <w:spacing w:before="120" w:after="120"/>
        <w:ind w:firstLine="48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cs="楷体"/>
          <w:lang w:val="en-US" w:eastAsia="zh-CN"/>
        </w:rPr>
        <w:t>12月玉米市场价格震荡走低。随着11月份玉米价格冲至高点，供应方出货意向提升，叠加12月初各地物流逐渐恢复，玉米市场流通性增加，市场供应量增加，玉米价格快速回落。中下旬供应端变现售粮增加，而下游需求因为预期不强和库存提升，采购力度较预期下降，贸易商做中长期库存的意愿较弱，基本维持按需采购的策略，市场供需环境相对宽松，价格重心不断下移。1月份市场迎来春节假期，目前供应端售粮压力有限，农户粮源保管较为良好，下游深加工企业仍有采购需求，饲料企业备货基本完成，市场供需大致持衡，局部市场供需形势分化，预计1月份玉米价格大致稳定，局部窄幅涨跌调整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48" w:name="_Toc27386"/>
      <w:bookmarkStart w:id="49" w:name="_Toc551"/>
      <w:r>
        <w:rPr>
          <w:rFonts w:hint="eastAsia"/>
          <w:lang w:val="en-US" w:eastAsia="zh-CN"/>
        </w:rPr>
        <w:t>6.2 生猪市场分析</w:t>
      </w:r>
      <w:bookmarkEnd w:id="48"/>
      <w:bookmarkEnd w:id="49"/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lang w:bidi="zh-CN"/>
        </w:rPr>
      </w:pPr>
      <w:r>
        <w:rPr>
          <w:lang w:bidi="zh-CN"/>
        </w:rPr>
        <w:drawing>
          <wp:inline distT="0" distB="0" distL="114300" distR="114300">
            <wp:extent cx="4972050" cy="2809875"/>
            <wp:effectExtent l="0" t="0" r="0" b="9525"/>
            <wp:docPr id="25" name="图片 25" descr="5bdbe794ea28a0389b28678d2ae8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bdbe794ea28a0389b28678d2ae8c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480"/>
        <w:jc w:val="right"/>
        <w:rPr>
          <w:rStyle w:val="60"/>
          <w:rFonts w:hint="eastAsia" w:cs="Times New Roman"/>
          <w:color w:val="7F7F7F"/>
          <w:sz w:val="18"/>
          <w:szCs w:val="18"/>
        </w:rPr>
      </w:pPr>
      <w:r>
        <w:rPr>
          <w:rStyle w:val="60"/>
          <w:rFonts w:hint="eastAsia" w:cs="Times New Roman"/>
          <w:color w:val="7F7F7F"/>
          <w:sz w:val="18"/>
          <w:szCs w:val="18"/>
        </w:rPr>
        <w:t>数据来源：钢联数据</w:t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</w:pPr>
      <w:r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图</w:t>
      </w:r>
      <w:r>
        <w:rPr>
          <w:rStyle w:val="60"/>
          <w:rFonts w:hint="eastAsia" w:cs="Times New Roman"/>
          <w:b/>
          <w:bCs/>
          <w:i w:val="0"/>
          <w:iCs w:val="0"/>
          <w:color w:val="023985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 xml:space="preserve"> </w:t>
      </w:r>
      <w:r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全国外三元生猪出栏均价走势图</w:t>
      </w:r>
      <w:bookmarkStart w:id="50" w:name="_Toc7254"/>
      <w:bookmarkStart w:id="51" w:name="_Toc21446"/>
    </w:p>
    <w:p>
      <w:pPr>
        <w:spacing w:before="120" w:beforeLines="50" w:beforeAutospacing="0" w:after="120" w:afterLines="50" w:afterAutospacing="0" w:line="360" w:lineRule="auto"/>
        <w:ind w:firstLine="480"/>
        <w:jc w:val="left"/>
        <w:rPr>
          <w:rFonts w:hint="eastAsia" w:ascii="楷体" w:hAnsi="楷体" w:eastAsia="楷体" w:cs="楷体"/>
          <w:b w:val="0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kern w:val="2"/>
          <w:sz w:val="24"/>
          <w:szCs w:val="22"/>
          <w:lang w:val="en-US" w:eastAsia="zh-CN" w:bidi="ar-SA"/>
        </w:rPr>
        <w:t>本月生猪出栏均价为18.88元/公斤，较上月下跌5.09元/公斤，环比下跌21.23%，同比上涨15.40%。本月猪价下行调整，虽期间触底反弹有所回升，但月度重心跌幅明显。从供应方面来看，规模企业月度计划环比小增，年底多减重冲量操作，出栏节奏稳定；连续跌价后散户多有扛价，且二次育肥入场成本偏高，整体积极性偏低，近期逢涨灵活出栏，市场猪源稳定且相对充裕。从需求方面来看，消费端旺季不旺、表现乏力，近期新冠感染陆续恢复，下游消费或有阶段性改善，对猪价有一定提振；但年关尾期不足，且腌腊等同比缩水明显，需求驱动力有限。整体来看，近期猪价反弹后下游高价出货不畅，行情偏弱盘整，虽年关收尾仍有提振，但供需博弈下猪价上行承压、行情震荡调整。</w:t>
      </w:r>
    </w:p>
    <w:p>
      <w:pPr>
        <w:pStyle w:val="4"/>
        <w:spacing w:before="120" w:after="120"/>
        <w:rPr>
          <w:rFonts w:hint="eastAsia"/>
          <w:color w:val="023985"/>
          <w:sz w:val="24"/>
          <w:szCs w:val="24"/>
          <w:lang w:val="en-US" w:eastAsia="zh-CN"/>
        </w:rPr>
      </w:pPr>
      <w:r>
        <w:rPr>
          <w:rFonts w:hint="eastAsia"/>
          <w:color w:val="023985"/>
          <w:sz w:val="24"/>
          <w:szCs w:val="24"/>
          <w:lang w:val="en-US" w:eastAsia="zh-CN"/>
        </w:rPr>
        <w:t>6.3 肉鸡市场分析</w:t>
      </w:r>
      <w:bookmarkEnd w:id="50"/>
      <w:bookmarkEnd w:id="51"/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  <w:drawing>
          <wp:inline distT="0" distB="0" distL="114300" distR="114300">
            <wp:extent cx="4962525" cy="2752725"/>
            <wp:effectExtent l="0" t="0" r="9525" b="9525"/>
            <wp:docPr id="23" name="图片 23" descr="9b19d84adec1149c21a2cae6f0d2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b19d84adec1149c21a2cae6f0d232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ind w:firstLine="480"/>
        <w:jc w:val="right"/>
        <w:rPr>
          <w:rStyle w:val="60"/>
          <w:rFonts w:hint="eastAsia" w:cs="Times New Roman"/>
          <w:color w:val="7F7F7F"/>
          <w:sz w:val="18"/>
          <w:szCs w:val="18"/>
        </w:rPr>
      </w:pPr>
      <w:r>
        <w:rPr>
          <w:rStyle w:val="60"/>
          <w:rFonts w:hint="eastAsia" w:cs="Times New Roman"/>
          <w:color w:val="7F7F7F"/>
          <w:sz w:val="18"/>
          <w:szCs w:val="18"/>
        </w:rPr>
        <w:t>数据来源：钢联数据</w:t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</w:pPr>
      <w:r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图</w:t>
      </w:r>
      <w:r>
        <w:rPr>
          <w:rStyle w:val="60"/>
          <w:rFonts w:hint="eastAsia" w:cs="Times New Roman"/>
          <w:b/>
          <w:bCs/>
          <w:i w:val="0"/>
          <w:iCs w:val="0"/>
          <w:color w:val="023985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 xml:space="preserve"> </w:t>
      </w:r>
      <w:r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国内大肉食毛鸡均价预测走势图</w:t>
      </w:r>
    </w:p>
    <w:p>
      <w:pPr>
        <w:spacing w:before="120" w:beforeLines="50" w:beforeAutospacing="0" w:after="120" w:afterLines="50" w:afterAutospacing="0" w:line="360" w:lineRule="auto"/>
        <w:ind w:firstLine="48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cs="楷体"/>
          <w:lang w:val="en-US" w:eastAsia="zh-CN"/>
        </w:rPr>
        <w:t>本月全国白羽肉鸡均价出现了断崖式下滑，一度跌至年内低点。本月全国白羽肉鸡均价为4.04元/斤，环比跌幅14.04%，同比涨幅1.76%。月初毛鸡供需处于博弈僵持阶段，价格震荡持稳为主，涨跌变动不大。后随着全国各地的全面解封，屠宰端出现了明显的人员出勤率下滑问题，进而开工率大幅走低，叠加12月份本就充裕的整体鸡源，屠宰环节出现了供需失衡局面，供过于求后，价格持续大幅走低；山东毛鸡一度成交价格混乱，实际成交单谈为主。下半月，感染工人陆续返岗，山东前期返乡的四川工人也陆续回岗，毛鸡需求增量，价格开始触底反弹。但是受限于前期积压的鸡源较多，合同鸡为主企业以消化自家合同为主，市场上鸡源供过于求的局面短期难以扭转，毛鸡价格反弹上行受阻，整体仍处低位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52" w:name="_Toc28470"/>
      <w:bookmarkStart w:id="53" w:name="_Toc30990"/>
      <w:r>
        <w:rPr>
          <w:rFonts w:hint="eastAsia"/>
          <w:lang w:val="en-US" w:eastAsia="zh-CN"/>
        </w:rPr>
        <w:t>6.4 蛋鸡市场分析</w:t>
      </w:r>
      <w:bookmarkEnd w:id="52"/>
      <w:bookmarkEnd w:id="53"/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53000" cy="2809875"/>
            <wp:effectExtent l="0" t="0" r="0" b="9525"/>
            <wp:docPr id="22" name="图片 22" descr="6be756639e4d1af7464812c10039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be756639e4d1af7464812c10039cc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Style w:val="60"/>
          <w:rFonts w:hint="eastAsia" w:cs="Times New Roman"/>
          <w:color w:val="7F7F7F"/>
          <w:sz w:val="18"/>
          <w:szCs w:val="18"/>
        </w:rPr>
      </w:pPr>
      <w:r>
        <w:rPr>
          <w:rStyle w:val="60"/>
          <w:rFonts w:hint="eastAsia" w:cs="Times New Roman"/>
          <w:color w:val="7F7F7F"/>
          <w:sz w:val="18"/>
          <w:szCs w:val="18"/>
        </w:rPr>
        <w:t>数据来源：钢联数据</w:t>
      </w:r>
    </w:p>
    <w:p>
      <w:pPr>
        <w:spacing w:before="120" w:beforeLines="50" w:beforeAutospacing="0" w:after="120" w:afterLines="50" w:afterAutospacing="0" w:line="360" w:lineRule="auto"/>
        <w:ind w:firstLine="480"/>
        <w:jc w:val="center"/>
        <w:rPr>
          <w:rFonts w:hint="eastAsia" w:ascii="微软雅黑" w:hAnsi="微软雅黑" w:eastAsia="微软雅黑"/>
          <w:color w:val="333333"/>
          <w:shd w:val="clear" w:color="auto" w:fill="FFFFFF"/>
        </w:rPr>
      </w:pPr>
      <w:r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图</w:t>
      </w:r>
      <w:r>
        <w:rPr>
          <w:rStyle w:val="60"/>
          <w:rFonts w:hint="eastAsia" w:ascii="楷体" w:hAnsi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eastAsia="楷体" w:cstheme="minorBidi"/>
          <w:b/>
          <w:bCs/>
          <w:color w:val="023985"/>
          <w:kern w:val="2"/>
          <w:sz w:val="24"/>
          <w:szCs w:val="28"/>
          <w:lang w:val="en-US" w:eastAsia="zh-CN" w:bidi="ar-SA"/>
        </w:rPr>
        <w:t xml:space="preserve"> </w:t>
      </w:r>
      <w:r>
        <w:rPr>
          <w:rStyle w:val="60"/>
          <w:rFonts w:hint="eastAsia" w:ascii="楷体" w:hAnsi="楷体" w:eastAsia="楷体" w:cs="楷体"/>
          <w:b/>
          <w:bCs/>
          <w:i w:val="0"/>
          <w:iCs w:val="0"/>
          <w:color w:val="023985"/>
          <w:sz w:val="24"/>
          <w:szCs w:val="24"/>
          <w:lang w:val="en-US" w:eastAsia="zh-CN"/>
        </w:rPr>
        <w:t>全国鸡蛋主产区与主销区价格对比图</w:t>
      </w:r>
    </w:p>
    <w:p>
      <w:pPr>
        <w:spacing w:before="120" w:after="120"/>
        <w:ind w:firstLine="48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cs="楷体"/>
          <w:lang w:val="en-US" w:eastAsia="zh-CN"/>
        </w:rPr>
        <w:t>本月鸡蛋主产区均价5.09元/斤，较上月下跌0.53元/斤，跌幅9.43%；主销区均价5.19元/斤，较上月下跌0.56元/斤，跌幅9.74%，月内产销区价格震荡下跌。月内产区货源供应正常，需求恢复不及预期。本月上旬各地防疫政策初步宽松，货源流通恢复正常，市场交投有好转，蛋价小幅上调；后期新冠病毒影响加剧，消费者多居家防疫，终端需求大幅减弱，且食品企业、市场配送等环节人员减少明显，影响正常开工，各环节库存被动增加，蛋价持续下跌；月末终端需求有转好迹象，且临近元旦、春节，市场存一定备货需求，蛋价止跌后反弹。预计，下个月市场先扬后抑，主产区均价将会4.50-4.70元/斤，春节过后蛋价或再次走低，下调幅度在0.20元/斤左右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4" w:name="_Toc77846537"/>
      <w:bookmarkStart w:id="55" w:name="_Toc18079"/>
      <w:bookmarkStart w:id="56" w:name="_Toc1600"/>
      <w:bookmarkStart w:id="57" w:name="_Toc2243"/>
      <w:r>
        <w:rPr>
          <w:rFonts w:hint="eastAsia"/>
          <w:lang w:val="en-US" w:eastAsia="zh-CN"/>
        </w:rPr>
        <w:t>第七章 氨基酸行情展望</w:t>
      </w:r>
      <w:bookmarkEnd w:id="54"/>
      <w:bookmarkEnd w:id="55"/>
      <w:bookmarkEnd w:id="56"/>
      <w:bookmarkEnd w:id="57"/>
    </w:p>
    <w:p>
      <w:pPr>
        <w:spacing w:before="120" w:after="120"/>
        <w:ind w:firstLine="48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赖氨酸：上游企业多数正常生产发货为主，</w:t>
      </w:r>
      <w:r>
        <w:rPr>
          <w:rFonts w:hint="eastAsia" w:ascii="楷体" w:hAnsi="楷体" w:cs="楷体"/>
          <w:lang w:val="en-US" w:eastAsia="zh-CN"/>
        </w:rPr>
        <w:t>厂家复产计划执行下预计开机率偏强</w:t>
      </w:r>
      <w:r>
        <w:rPr>
          <w:rFonts w:hint="eastAsia" w:ascii="楷体" w:hAnsi="楷体" w:eastAsia="楷体" w:cs="楷体"/>
          <w:lang w:val="en-US" w:eastAsia="zh-CN"/>
        </w:rPr>
        <w:t>。</w:t>
      </w:r>
      <w:r>
        <w:rPr>
          <w:rFonts w:hint="eastAsia" w:ascii="楷体" w:hAnsi="楷体" w:cs="楷体"/>
          <w:lang w:val="en-US" w:eastAsia="zh-CN"/>
        </w:rPr>
        <w:t>厂家报价宽泛运行</w:t>
      </w:r>
      <w:r>
        <w:rPr>
          <w:rFonts w:hint="eastAsia" w:ascii="楷体" w:hAnsi="楷体" w:eastAsia="楷体" w:cs="楷体"/>
          <w:lang w:val="en-US" w:eastAsia="zh-CN"/>
        </w:rPr>
        <w:t>，预计下</w:t>
      </w:r>
      <w:r>
        <w:rPr>
          <w:rFonts w:hint="eastAsia" w:ascii="楷体" w:hAnsi="楷体" w:cs="楷体"/>
          <w:lang w:val="en-US" w:eastAsia="zh-CN"/>
        </w:rPr>
        <w:t>月</w:t>
      </w:r>
      <w:r>
        <w:rPr>
          <w:rFonts w:hint="eastAsia" w:ascii="楷体" w:hAnsi="楷体" w:eastAsia="楷体" w:cs="楷体"/>
          <w:lang w:val="en-US" w:eastAsia="zh-CN"/>
        </w:rPr>
        <w:t>赖氨酸价格</w:t>
      </w:r>
      <w:r>
        <w:rPr>
          <w:rFonts w:hint="eastAsia" w:ascii="楷体" w:hAnsi="楷体" w:cs="楷体"/>
          <w:lang w:val="en-US" w:eastAsia="zh-CN"/>
        </w:rPr>
        <w:t>偏弱</w:t>
      </w:r>
      <w:r>
        <w:rPr>
          <w:rFonts w:hint="eastAsia" w:ascii="楷体" w:hAnsi="楷体" w:eastAsia="楷体" w:cs="楷体"/>
          <w:lang w:val="en-US" w:eastAsia="zh-CN"/>
        </w:rPr>
        <w:t>震荡运行</w:t>
      </w:r>
      <w:r>
        <w:rPr>
          <w:rFonts w:hint="eastAsia" w:ascii="楷体" w:hAnsi="楷体" w:cs="楷体"/>
          <w:lang w:val="en-US" w:eastAsia="zh-CN"/>
        </w:rPr>
        <w:t>。</w:t>
      </w:r>
    </w:p>
    <w:p>
      <w:pPr>
        <w:spacing w:before="120" w:after="120"/>
        <w:ind w:firstLine="480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苏氨酸：上游企业多数正常生产发货为主</w:t>
      </w:r>
      <w:r>
        <w:rPr>
          <w:rFonts w:hint="eastAsia" w:ascii="楷体" w:hAnsi="楷体" w:cs="楷体"/>
          <w:lang w:val="en-US" w:eastAsia="zh-CN"/>
        </w:rPr>
        <w:t>，下月预计正常运行</w:t>
      </w:r>
      <w:r>
        <w:rPr>
          <w:rFonts w:hint="eastAsia" w:ascii="楷体" w:hAnsi="楷体" w:eastAsia="楷体" w:cs="楷体"/>
          <w:lang w:val="en-US" w:eastAsia="zh-CN"/>
        </w:rPr>
        <w:t>，国内</w:t>
      </w:r>
      <w:r>
        <w:rPr>
          <w:rFonts w:hint="eastAsia" w:ascii="楷体" w:hAnsi="楷体" w:cs="楷体"/>
          <w:lang w:val="en-US" w:eastAsia="zh-CN"/>
        </w:rPr>
        <w:t>外</w:t>
      </w:r>
      <w:r>
        <w:rPr>
          <w:rFonts w:hint="eastAsia" w:ascii="楷体" w:hAnsi="楷体" w:eastAsia="楷体" w:cs="楷体"/>
          <w:lang w:val="en-US" w:eastAsia="zh-CN"/>
        </w:rPr>
        <w:t>成交</w:t>
      </w:r>
      <w:r>
        <w:rPr>
          <w:rFonts w:hint="eastAsia" w:ascii="楷体" w:hAnsi="楷体" w:cs="楷体"/>
          <w:lang w:val="en-US" w:eastAsia="zh-CN"/>
        </w:rPr>
        <w:t>暂时一般</w:t>
      </w:r>
      <w:r>
        <w:rPr>
          <w:rFonts w:hint="eastAsia" w:ascii="楷体" w:hAnsi="楷体" w:eastAsia="楷体" w:cs="楷体"/>
          <w:lang w:val="en-US" w:eastAsia="zh-CN"/>
        </w:rPr>
        <w:t>，预计下</w:t>
      </w:r>
      <w:r>
        <w:rPr>
          <w:rFonts w:hint="eastAsia" w:ascii="楷体" w:hAnsi="楷体" w:cs="楷体"/>
          <w:lang w:val="en-US" w:eastAsia="zh-CN"/>
        </w:rPr>
        <w:t>月</w:t>
      </w:r>
      <w:r>
        <w:rPr>
          <w:rFonts w:hint="eastAsia" w:ascii="楷体" w:hAnsi="楷体" w:eastAsia="楷体" w:cs="楷体"/>
          <w:lang w:val="en-US" w:eastAsia="zh-CN"/>
        </w:rPr>
        <w:t>价格预计</w:t>
      </w:r>
      <w:r>
        <w:rPr>
          <w:rFonts w:hint="eastAsia" w:ascii="楷体" w:hAnsi="楷体" w:cs="楷体"/>
          <w:lang w:val="en-US" w:eastAsia="zh-CN"/>
        </w:rPr>
        <w:t>趋稳震荡</w:t>
      </w:r>
      <w:r>
        <w:rPr>
          <w:rFonts w:hint="eastAsia" w:ascii="楷体" w:hAnsi="楷体" w:eastAsia="楷体" w:cs="楷体"/>
          <w:lang w:val="en-US" w:eastAsia="zh-CN"/>
        </w:rPr>
        <w:t>为主。</w:t>
      </w:r>
    </w:p>
    <w:p>
      <w:pPr>
        <w:spacing w:before="120" w:after="120"/>
        <w:ind w:firstLine="480"/>
        <w:rPr>
          <w:rFonts w:hint="default" w:ascii="楷体" w:hAnsi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蛋氨酸：蛋氨酸</w:t>
      </w:r>
      <w:r>
        <w:rPr>
          <w:rFonts w:hint="eastAsia" w:ascii="楷体" w:hAnsi="楷体" w:cs="楷体"/>
          <w:lang w:val="en-US" w:eastAsia="zh-CN"/>
        </w:rPr>
        <w:t>厂家报价稳定运行，市场价格震荡整理，但成交一般，关注发货情况，市场需求恢复下预计价格弱稳运行。</w:t>
      </w:r>
    </w:p>
    <w:p>
      <w:pPr>
        <w:spacing w:before="120" w:after="120"/>
        <w:ind w:firstLine="480"/>
        <w:rPr>
          <w:rFonts w:hint="eastAsia" w:ascii="微软雅黑" w:hAnsi="微软雅黑" w:eastAsia="微软雅黑"/>
          <w:color w:val="333333"/>
          <w:shd w:val="clear" w:color="auto" w:fill="FFFFFF"/>
        </w:rPr>
      </w:pPr>
      <w:r>
        <w:rPr>
          <w:rFonts w:hint="eastAsia" w:ascii="楷体" w:hAnsi="楷体" w:eastAsia="楷体" w:cs="楷体"/>
          <w:lang w:val="en-US" w:eastAsia="zh-CN"/>
        </w:rPr>
        <w:t>色氨酸：本</w:t>
      </w:r>
      <w:r>
        <w:rPr>
          <w:rFonts w:hint="eastAsia" w:ascii="楷体" w:hAnsi="楷体" w:cs="楷体"/>
          <w:lang w:val="en-US" w:eastAsia="zh-CN"/>
        </w:rPr>
        <w:t>月</w:t>
      </w:r>
      <w:r>
        <w:rPr>
          <w:rFonts w:hint="eastAsia" w:ascii="楷体" w:hAnsi="楷体" w:eastAsia="楷体" w:cs="楷体"/>
          <w:lang w:val="en-US" w:eastAsia="zh-CN"/>
        </w:rPr>
        <w:t>价格</w:t>
      </w:r>
      <w:r>
        <w:rPr>
          <w:rFonts w:hint="eastAsia" w:ascii="楷体" w:hAnsi="楷体" w:cs="楷体"/>
          <w:lang w:val="en-US" w:eastAsia="zh-CN"/>
        </w:rPr>
        <w:t>稳定运行</w:t>
      </w:r>
      <w:r>
        <w:rPr>
          <w:rFonts w:hint="eastAsia" w:ascii="楷体" w:hAnsi="楷体" w:eastAsia="楷体" w:cs="楷体"/>
          <w:lang w:val="en-US" w:eastAsia="zh-CN"/>
        </w:rPr>
        <w:t>，市场多数随采随用，询单量一般，</w:t>
      </w:r>
      <w:r>
        <w:rPr>
          <w:rFonts w:hint="eastAsia" w:ascii="楷体" w:hAnsi="楷体" w:cs="楷体"/>
          <w:lang w:val="en-US" w:eastAsia="zh-CN"/>
        </w:rPr>
        <w:t>豆粕价格震荡运行下上涨动力不足下</w:t>
      </w:r>
      <w:r>
        <w:rPr>
          <w:rFonts w:hint="eastAsia" w:ascii="楷体" w:hAnsi="楷体" w:eastAsia="楷体" w:cs="楷体"/>
          <w:lang w:val="en-US" w:eastAsia="zh-CN"/>
        </w:rPr>
        <w:t>预计下</w:t>
      </w:r>
      <w:r>
        <w:rPr>
          <w:rFonts w:hint="eastAsia" w:ascii="楷体" w:hAnsi="楷体" w:cs="楷体"/>
          <w:lang w:val="en-US" w:eastAsia="zh-CN"/>
        </w:rPr>
        <w:t>月</w:t>
      </w:r>
      <w:r>
        <w:rPr>
          <w:rFonts w:hint="eastAsia" w:ascii="楷体" w:hAnsi="楷体" w:eastAsia="楷体" w:cs="楷体"/>
          <w:lang w:val="en-US" w:eastAsia="zh-CN"/>
        </w:rPr>
        <w:t>价格</w:t>
      </w:r>
      <w:r>
        <w:rPr>
          <w:rFonts w:hint="eastAsia" w:ascii="楷体" w:hAnsi="楷体" w:cs="楷体"/>
          <w:lang w:val="en-US" w:eastAsia="zh-CN"/>
        </w:rPr>
        <w:t>弱稳</w:t>
      </w:r>
      <w:bookmarkStart w:id="58" w:name="_GoBack"/>
      <w:bookmarkEnd w:id="58"/>
      <w:r>
        <w:rPr>
          <w:rFonts w:hint="eastAsia" w:ascii="楷体" w:hAnsi="楷体" w:eastAsia="楷体" w:cs="楷体"/>
          <w:lang w:val="en-US" w:eastAsia="zh-CN"/>
        </w:rPr>
        <w:t>运行。</w:t>
      </w:r>
    </w:p>
    <w:p>
      <w:pPr>
        <w:spacing w:before="120" w:after="120"/>
        <w:ind w:firstLine="480"/>
        <w:rPr>
          <w:rFonts w:hint="eastAsia" w:ascii="微软雅黑" w:hAnsi="微软雅黑" w:eastAsia="微软雅黑"/>
          <w:color w:val="333333"/>
          <w:shd w:val="clear" w:color="auto" w:fill="FFFFFF"/>
        </w:rPr>
      </w:pPr>
    </w:p>
    <w:p>
      <w:pPr>
        <w:ind w:firstLine="0" w:firstLineChars="0"/>
        <w:rPr>
          <w:rFonts w:hint="default" w:ascii="微软雅黑" w:hAnsi="微软雅黑" w:eastAsia="微软雅黑"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资讯编辑：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val="en-US" w:eastAsia="zh-CN"/>
        </w:rPr>
        <w:t>陈  荣</w:t>
      </w:r>
      <w:r>
        <w:rPr>
          <w:rFonts w:ascii="微软雅黑" w:hAnsi="微软雅黑" w:eastAsia="微软雅黑"/>
          <w:color w:val="333333"/>
          <w:shd w:val="clear" w:color="auto" w:fill="FFFFFF"/>
        </w:rPr>
        <w:t xml:space="preserve">   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val="en-US" w:eastAsia="zh-CN"/>
        </w:rPr>
        <w:t>021-26094319</w:t>
      </w:r>
    </w:p>
    <w:p>
      <w:pPr>
        <w:ind w:firstLine="0" w:firstLineChars="0"/>
        <w:rPr>
          <w:rFonts w:hint="default" w:ascii="微软雅黑" w:hAnsi="微软雅黑" w:eastAsia="微软雅黑"/>
          <w:color w:val="333333"/>
          <w:lang w:val="en-US" w:eastAsia="zh-CN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资讯监督：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val="en-US" w:eastAsia="zh-CN"/>
        </w:rPr>
        <w:t>朱喜安</w:t>
      </w:r>
      <w:r>
        <w:rPr>
          <w:rFonts w:ascii="微软雅黑" w:hAnsi="微软雅黑" w:eastAsia="微软雅黑"/>
          <w:color w:val="333333"/>
          <w:shd w:val="clear" w:color="auto" w:fill="FFFFFF"/>
        </w:rPr>
        <w:t xml:space="preserve">  0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val="en-US" w:eastAsia="zh-CN"/>
        </w:rPr>
        <w:t>21-26093675</w:t>
      </w:r>
    </w:p>
    <w:p>
      <w:pPr>
        <w:ind w:firstLine="0" w:firstLineChars="0"/>
        <w:rPr>
          <w:szCs w:val="24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资讯投诉：</w:t>
      </w:r>
      <w:r>
        <w:rPr>
          <w:rFonts w:ascii="微软雅黑" w:hAnsi="微软雅黑" w:eastAsia="微软雅黑"/>
          <w:color w:val="333333"/>
          <w:shd w:val="clear" w:color="auto" w:fill="FFFFFF"/>
        </w:rPr>
        <w:t>陈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 xml:space="preserve"> </w:t>
      </w:r>
      <w:r>
        <w:rPr>
          <w:rFonts w:ascii="微软雅黑" w:hAnsi="微软雅黑" w:eastAsia="微软雅黑"/>
          <w:color w:val="333333"/>
          <w:shd w:val="clear" w:color="auto" w:fill="FFFFFF"/>
        </w:rPr>
        <w:t>杰    021-26093100</w:t>
      </w:r>
    </w:p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10" w:h="16840"/>
      <w:pgMar w:top="1700" w:right="1240" w:bottom="280" w:left="1680" w:header="970" w:footer="624" w:gutter="0"/>
      <w:pgNumType w:fmt="numberInDash" w:start="1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7811488"/>
    </w:sdtPr>
    <w:sdtContent>
      <w:p>
        <w:pPr>
          <w:pStyle w:val="15"/>
          <w:ind w:firstLine="0" w:firstLineChars="0"/>
          <w:jc w:val="center"/>
        </w:pPr>
        <w: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4818380</wp:posOffset>
              </wp:positionH>
              <wp:positionV relativeFrom="paragraph">
                <wp:posOffset>28575</wp:posOffset>
              </wp:positionV>
              <wp:extent cx="902335" cy="599440"/>
              <wp:effectExtent l="0" t="0" r="0" b="0"/>
              <wp:wrapSquare wrapText="bothSides"/>
              <wp:docPr id="41" name="图片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图片 4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2335" cy="599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19793801"/>
    </w:sdtPr>
    <w:sdtContent>
      <w:p>
        <w:pPr>
          <w:pStyle w:val="15"/>
          <w:ind w:right="624" w:rightChars="260" w:firstLine="0" w:firstLineChars="0"/>
          <w:jc w:val="center"/>
        </w:pPr>
        <w:r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19050</wp:posOffset>
              </wp:positionV>
              <wp:extent cx="902335" cy="599440"/>
              <wp:effectExtent l="0" t="0" r="0" b="0"/>
              <wp:wrapSquare wrapText="bothSides"/>
              <wp:docPr id="20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图片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2335" cy="599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ind w:firstLine="0" w:firstLineChars="0"/>
    </w:pPr>
    <w: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814705</wp:posOffset>
              </wp:positionV>
              <wp:extent cx="5719445" cy="45720"/>
              <wp:effectExtent l="0" t="0" r="33655" b="12065"/>
              <wp:wrapNone/>
              <wp:docPr id="6" name="Group 1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9445" cy="45719"/>
                        <a:chOff x="1800" y="1641"/>
                        <a:chExt cx="8306" cy="73"/>
                      </a:xfrm>
                    </wpg:grpSpPr>
                    <wps:wsp>
                      <wps:cNvPr id="7" name="Line 1026"/>
                      <wps:cNvCnPr/>
                      <wps:spPr bwMode="auto">
                        <a:xfrm>
                          <a:off x="1800" y="1648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F336C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8" name="Line 1027"/>
                      <wps:cNvCnPr/>
                      <wps:spPr bwMode="auto">
                        <a:xfrm>
                          <a:off x="1800" y="1677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1A54B6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9" name="Line 1028"/>
                      <wps:cNvCnPr/>
                      <wps:spPr bwMode="auto">
                        <a:xfrm>
                          <a:off x="1800" y="1706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17DE2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25" o:spid="_x0000_s1026" o:spt="203" style="position:absolute;left:0pt;margin-left:84pt;margin-top:64.15pt;height:3.6pt;width:450.35pt;mso-position-horizontal-relative:page;mso-position-vertical-relative:page;z-index:-251654144;mso-width-relative:page;mso-height-relative:page;" coordorigin="1800,1641" coordsize="8306,73" o:gfxdata="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nYLuTaAAAADAEAAA8AAAAAAAAAAQAgAAAAIgAAAGRycy9kb3ducmV2Lnht&#10;bFBLAQIUABQAAAAIAIdO4kBycMIDaQIAAM0HAAAOAAAAAAAAAAEAIAAAACkBAABkcnMvZTJvRG9j&#10;LnhtbFBLBQYAAAAABgAGAFkBAAAEBgAAAAA=&#10;">
              <o:lock v:ext="edit" aspectratio="f"/>
              <v:line id="Line 1026" o:spid="_x0000_s1026" o:spt="20" style="position:absolute;left:1800;top:1648;height:0;width:8306;" filled="f" stroked="t" coordsize="21600,21600" o:gfxdata="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vF7a8AAAA&#10;2gAAAA8AAAAAAAAAAQAgAAAAIgAAAGRycy9kb3ducmV2LnhtbFBLAQIUABQAAAAIAIdO4kAzLwWe&#10;OwAAADkAAAAQAAAAAAAAAAEAIAAAAAsBAABkcnMvc2hhcGV4bWwueG1sUEsFBgAAAAAGAAYAWwEA&#10;ALUDAAAAAA==&#10;">
                <v:fill on="f" focussize="0,0"/>
                <v:stroke weight="0.72pt" color="#0F336C" joinstyle="round"/>
                <v:imagedata o:title=""/>
                <o:lock v:ext="edit" aspectratio="f"/>
              </v:line>
              <v:line id="Line 1027" o:spid="_x0000_s1026" o:spt="20" style="position:absolute;left:1800;top:1677;height:0;width:8306;" filled="f" stroked="t" coordsize="21600,21600" o:gfxdata="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7CV9bUAAADaAAAADwAA&#10;AAAAAAABACAAAAAiAAAAZHJzL2Rvd25yZXYueG1sUEsBAhQAFAAAAAgAh07iQDMvBZ47AAAAOQAA&#10;ABAAAAAAAAAAAQAgAAAABAEAAGRycy9zaGFwZXhtbC54bWxQSwUGAAAAAAYABgBbAQAArgMAAAAA&#10;">
                <v:fill on="f" focussize="0,0"/>
                <v:stroke weight="2.16pt" color="#1A54B6" joinstyle="round"/>
                <v:imagedata o:title=""/>
                <o:lock v:ext="edit" aspectratio="f"/>
              </v:line>
              <v:line id="Line 1028" o:spid="_x0000_s1026" o:spt="20" style="position:absolute;left:1800;top:1706;height:0;width:8306;" filled="f" stroked="t" coordsize="21600,21600" o:gfxdata="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tbKxvQAA&#10;ANoAAAAPAAAAAAAAAAEAIAAAACIAAABkcnMvZG93bnJldi54bWxQSwECFAAUAAAACACHTuJAMy8F&#10;njsAAAA5AAAAEAAAAAAAAAABACAAAAAMAQAAZHJzL3NoYXBleG1sLnhtbFBLBQYAAAAABgAGAFsB&#10;AAC2AwAAAAA=&#10;">
                <v:fill on="f" focussize="0,0"/>
                <v:stroke weight="0.72pt" color="#417DE2" joinstyle="round"/>
                <v:imagedata o:title=""/>
                <o:lock v:ext="edit" aspectratio="f"/>
              </v:lin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ind w:firstLine="0" w:firstLineChars="0"/>
    </w:pPr>
    <w: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1068705</wp:posOffset>
              </wp:positionH>
              <wp:positionV relativeFrom="page">
                <wp:posOffset>828040</wp:posOffset>
              </wp:positionV>
              <wp:extent cx="5719445" cy="45720"/>
              <wp:effectExtent l="0" t="0" r="33655" b="12065"/>
              <wp:wrapNone/>
              <wp:docPr id="29" name="Group 1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9445" cy="45719"/>
                        <a:chOff x="1800" y="1641"/>
                        <a:chExt cx="8306" cy="73"/>
                      </a:xfrm>
                    </wpg:grpSpPr>
                    <wps:wsp>
                      <wps:cNvPr id="30" name="Line 1026"/>
                      <wps:cNvCnPr/>
                      <wps:spPr bwMode="auto">
                        <a:xfrm>
                          <a:off x="1800" y="1648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F336C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31" name="Line 1027"/>
                      <wps:cNvCnPr/>
                      <wps:spPr bwMode="auto">
                        <a:xfrm>
                          <a:off x="1800" y="1677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1A54B6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32" name="Line 1028"/>
                      <wps:cNvCnPr/>
                      <wps:spPr bwMode="auto">
                        <a:xfrm>
                          <a:off x="1800" y="1706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17DE2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25" o:spid="_x0000_s1026" o:spt="203" style="position:absolute;left:0pt;margin-left:84.15pt;margin-top:65.2pt;height:3.6pt;width:450.35pt;mso-position-horizontal-relative:page;mso-position-vertical-relative:page;z-index:-251652096;mso-width-relative:page;mso-height-relative:page;" coordorigin="1800,1641" coordsize="8306,73" o:gfxdata="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EJ/Tx2gAAAAwBAAAPAAAAAAAAAAEAIAAAACIAAABkcnMvZG93bnJldi54bWxQ&#10;SwECFAAUAAAACACHTuJAM+cu/WcCAADRBwAADgAAAAAAAAABACAAAAApAQAAZHJzL2Uyb0RvYy54&#10;bWxQSwUGAAAAAAYABgBZAQAAAgYAAAAA&#10;">
              <o:lock v:ext="edit" aspectratio="f"/>
              <v:line id="Line 1026" o:spid="_x0000_s1026" o:spt="20" style="position:absolute;left:1800;top:1648;height:0;width:8306;" filled="f" stroked="t" coordsize="21600,21600" o:gfxdata="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w4hL4A&#10;AADbAAAADwAAAAAAAAABACAAAAAiAAAAZHJzL2Rvd25yZXYueG1sUEsBAhQAFAAAAAgAh07iQDMv&#10;BZ47AAAAOQAAABAAAAAAAAAAAQAgAAAADQEAAGRycy9zaGFwZXhtbC54bWxQSwUGAAAAAAYABgBb&#10;AQAAtwMAAAAA&#10;">
                <v:fill on="f" focussize="0,0"/>
                <v:stroke weight="0.72pt" color="#0F336C" joinstyle="round"/>
                <v:imagedata o:title=""/>
                <o:lock v:ext="edit" aspectratio="f"/>
              </v:line>
              <v:line id="Line 1027" o:spid="_x0000_s1026" o:spt="20" style="position:absolute;left:1800;top:1677;height:0;width:8306;" filled="f" stroked="t" coordsize="21600,21600" o:gfxdata="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dhsCvQAA&#10;ANsAAAAPAAAAAAAAAAEAIAAAACIAAABkcnMvZG93bnJldi54bWxQSwECFAAUAAAACACHTuJAMy8F&#10;njsAAAA5AAAAEAAAAAAAAAABACAAAAAMAQAAZHJzL3NoYXBleG1sLnhtbFBLBQYAAAAABgAGAFsB&#10;AAC2AwAAAAA=&#10;">
                <v:fill on="f" focussize="0,0"/>
                <v:stroke weight="2.16pt" color="#1A54B6" joinstyle="round"/>
                <v:imagedata o:title=""/>
                <o:lock v:ext="edit" aspectratio="f"/>
              </v:line>
              <v:line id="Line 1028" o:spid="_x0000_s1026" o:spt="20" style="position:absolute;left:1800;top:1706;height:0;width:8306;" filled="f" stroked="t" coordsize="21600,21600" o:gfxdata="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6Be74A&#10;AADbAAAADwAAAAAAAAABACAAAAAiAAAAZHJzL2Rvd25yZXYueG1sUEsBAhQAFAAAAAgAh07iQDMv&#10;BZ47AAAAOQAAABAAAAAAAAAAAQAgAAAADQEAAGRycy9zaGFwZXhtbC54bWxQSwUGAAAAAAYABgBb&#10;AQAAtwMAAAAA&#10;">
                <v:fill on="f" focussize="0,0"/>
                <v:stroke weight="0.72pt" color="#417DE2" joinstyle="round"/>
                <v:imagedata o:title=""/>
                <o:lock v:ext="edit" aspectratio="f"/>
              </v:lin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rPr>
        <w:rFonts w:hint="eastAsia"/>
      </w:rPr>
    </w:pP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4817110</wp:posOffset>
          </wp:positionH>
          <wp:positionV relativeFrom="paragraph">
            <wp:posOffset>-404495</wp:posOffset>
          </wp:positionV>
          <wp:extent cx="902335" cy="599440"/>
          <wp:effectExtent l="0" t="0" r="0" b="0"/>
          <wp:wrapSquare wrapText="bothSides"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33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814705</wp:posOffset>
              </wp:positionV>
              <wp:extent cx="5719445" cy="45720"/>
              <wp:effectExtent l="0" t="0" r="33655" b="12065"/>
              <wp:wrapNone/>
              <wp:docPr id="35" name="Group 1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9445" cy="45719"/>
                        <a:chOff x="1800" y="1641"/>
                        <a:chExt cx="8306" cy="73"/>
                      </a:xfrm>
                    </wpg:grpSpPr>
                    <wps:wsp>
                      <wps:cNvPr id="36" name="Line 1026"/>
                      <wps:cNvCnPr/>
                      <wps:spPr bwMode="auto">
                        <a:xfrm>
                          <a:off x="1800" y="1648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F336C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37" name="Line 1027"/>
                      <wps:cNvCnPr/>
                      <wps:spPr bwMode="auto">
                        <a:xfrm>
                          <a:off x="1800" y="1677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1A54B6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38" name="Line 1028"/>
                      <wps:cNvCnPr/>
                      <wps:spPr bwMode="auto">
                        <a:xfrm>
                          <a:off x="1800" y="1706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17DE2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25" o:spid="_x0000_s1026" o:spt="203" style="position:absolute;left:0pt;margin-left:84pt;margin-top:64.15pt;height:3.6pt;width:450.35pt;mso-position-horizontal-relative:page;mso-position-vertical-relative:page;z-index:-251651072;mso-width-relative:page;mso-height-relative:page;" coordorigin="1800,1641" coordsize="8306,73" o:gfxdata="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Wdgu5NoAAAAMAQAADwAAAAAAAAABACAAAAAiAAAAZHJzL2Rvd25yZXYueG1s&#10;UEsBAhQAFAAAAAgAh07iQPEsrb1oAgAA0QcAAA4AAAAAAAAAAQAgAAAAKQEAAGRycy9lMm9Eb2Mu&#10;eG1sUEsFBgAAAAAGAAYAWQEAAAMGAAAAAA==&#10;">
              <o:lock v:ext="edit" aspectratio="f"/>
              <v:line id="Line 1026" o:spid="_x0000_s1026" o:spt="20" style="position:absolute;left:1800;top:1648;height:0;width:8306;" filled="f" stroked="t" coordsize="21600,21600" o:gfxdata="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kFa74A&#10;AADbAAAADwAAAAAAAAABACAAAAAiAAAAZHJzL2Rvd25yZXYueG1sUEsBAhQAFAAAAAgAh07iQDMv&#10;BZ47AAAAOQAAABAAAAAAAAAAAQAgAAAADQEAAGRycy9zaGFwZXhtbC54bWxQSwUGAAAAAAYABgBb&#10;AQAAtwMAAAAA&#10;">
                <v:fill on="f" focussize="0,0"/>
                <v:stroke weight="0.72pt" color="#0F336C" joinstyle="round"/>
                <v:imagedata o:title=""/>
                <o:lock v:ext="edit" aspectratio="f"/>
              </v:line>
              <v:line id="Line 1027" o:spid="_x0000_s1026" o:spt="20" style="position:absolute;left:1800;top:1677;height:0;width:8306;" filled="f" stroked="t" coordsize="21600,21600" o:gfxdata="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TJu28AAAA&#10;2wAAAA8AAAAAAAAAAQAgAAAAIgAAAGRycy9kb3ducmV2LnhtbFBLAQIUABQAAAAIAIdO4kAzLwWe&#10;OwAAADkAAAAQAAAAAAAAAAEAIAAAAAsBAABkcnMvc2hhcGV4bWwueG1sUEsFBgAAAAAGAAYAWwEA&#10;ALUDAAAAAA==&#10;">
                <v:fill on="f" focussize="0,0"/>
                <v:stroke weight="2.16pt" color="#1A54B6" joinstyle="round"/>
                <v:imagedata o:title=""/>
                <o:lock v:ext="edit" aspectratio="f"/>
              </v:line>
              <v:line id="Line 1028" o:spid="_x0000_s1026" o:spt="20" style="position:absolute;left:1800;top:1706;height:0;width:8306;" filled="f" stroked="t" coordsize="21600,21600" o:gfxdata="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RraRugAAANsA&#10;AAAPAAAAAAAAAAEAIAAAACIAAABkcnMvZG93bnJldi54bWxQSwECFAAUAAAACACHTuJAMy8FnjsA&#10;AAA5AAAAEAAAAAAAAAABACAAAAAJAQAAZHJzL3NoYXBleG1sLnhtbFBLBQYAAAAABgAGAFsBAACz&#10;AwAAAAA=&#10;">
                <v:fill on="f" focussize="0,0"/>
                <v:stroke weight="0.72pt" color="#417DE2" joinstyle="round"/>
                <v:imagedata o:title=""/>
                <o:lock v:ext="edit" aspectratio="f"/>
              </v:lin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ind w:firstLine="0" w:firstLineChars="0"/>
    </w:pPr>
    <w: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-414020</wp:posOffset>
          </wp:positionV>
          <wp:extent cx="902335" cy="599440"/>
          <wp:effectExtent l="0" t="0" r="0" b="0"/>
          <wp:wrapSquare wrapText="bothSides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33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1068705</wp:posOffset>
              </wp:positionH>
              <wp:positionV relativeFrom="page">
                <wp:posOffset>828040</wp:posOffset>
              </wp:positionV>
              <wp:extent cx="5719445" cy="45720"/>
              <wp:effectExtent l="0" t="0" r="33655" b="12065"/>
              <wp:wrapNone/>
              <wp:docPr id="15" name="Group 1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9445" cy="45719"/>
                        <a:chOff x="1800" y="1641"/>
                        <a:chExt cx="8306" cy="73"/>
                      </a:xfrm>
                    </wpg:grpSpPr>
                    <wps:wsp>
                      <wps:cNvPr id="16" name="Line 1026"/>
                      <wps:cNvCnPr/>
                      <wps:spPr bwMode="auto">
                        <a:xfrm>
                          <a:off x="1800" y="1648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F336C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17" name="Line 1027"/>
                      <wps:cNvCnPr/>
                      <wps:spPr bwMode="auto">
                        <a:xfrm>
                          <a:off x="1800" y="1677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1A54B6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18" name="Line 1028"/>
                      <wps:cNvCnPr/>
                      <wps:spPr bwMode="auto">
                        <a:xfrm>
                          <a:off x="1800" y="1706"/>
                          <a:ext cx="8306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417DE2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25" o:spid="_x0000_s1026" o:spt="203" style="position:absolute;left:0pt;margin-left:84.15pt;margin-top:65.2pt;height:3.6pt;width:450.35pt;mso-position-horizontal-relative:page;mso-position-vertical-relative:page;z-index:-251649024;mso-width-relative:page;mso-height-relative:page;" coordorigin="1800,1641" coordsize="8306,73" o:gfxdata="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Cf08doAAAAMAQAADwAAAAAAAAABACAAAAAiAAAAZHJzL2Rvd25yZXYueG1s&#10;UEsBAhQAFAAAAAgAh07iQHn3w5toAgAA0QcAAA4AAAAAAAAAAQAgAAAAKQEAAGRycy9lMm9Eb2Mu&#10;eG1sUEsFBgAAAAAGAAYAWQEAAAMGAAAAAA==&#10;">
              <o:lock v:ext="edit" aspectratio="f"/>
              <v:line id="Line 1026" o:spid="_x0000_s1026" o:spt="20" style="position:absolute;left:1800;top:1648;height:0;width:8306;" filled="f" stroked="t" coordsize="21600,21600" o:gfxdata="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xZC74A&#10;AADbAAAADwAAAAAAAAABACAAAAAiAAAAZHJzL2Rvd25yZXYueG1sUEsBAhQAFAAAAAgAh07iQDMv&#10;BZ47AAAAOQAAABAAAAAAAAAAAQAgAAAADQEAAGRycy9zaGFwZXhtbC54bWxQSwUGAAAAAAYABgBb&#10;AQAAtwMAAAAA&#10;">
                <v:fill on="f" focussize="0,0"/>
                <v:stroke weight="0.72pt" color="#0F336C" joinstyle="round"/>
                <v:imagedata o:title=""/>
                <o:lock v:ext="edit" aspectratio="f"/>
              </v:line>
              <v:line id="Line 1027" o:spid="_x0000_s1026" o:spt="20" style="position:absolute;left:1800;top:1677;height:0;width:8306;" filled="f" stroked="t" coordsize="21600,21600" o:gfxdata="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Z6jbsAAADb&#10;AAAADwAAAAAAAAABACAAAAAiAAAAZHJzL2Rvd25yZXYueG1sUEsBAhQAFAAAAAgAh07iQDMvBZ47&#10;AAAAOQAAABAAAAAAAAAAAQAgAAAACgEAAGRycy9zaGFwZXhtbC54bWxQSwUGAAAAAAYABgBbAQAA&#10;tAMAAAAA&#10;">
                <v:fill on="f" focussize="0,0"/>
                <v:stroke weight="2.16pt" color="#1A54B6" joinstyle="round"/>
                <v:imagedata o:title=""/>
                <o:lock v:ext="edit" aspectratio="f"/>
              </v:line>
              <v:line id="Line 1028" o:spid="_x0000_s1026" o:spt="20" style="position:absolute;left:1800;top:1706;height:0;width:8306;" filled="f" stroked="t" coordsize="21600,21600" o:gfxdata="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8+rxvQAA&#10;ANsAAAAPAAAAAAAAAAEAIAAAACIAAABkcnMvZG93bnJldi54bWxQSwECFAAUAAAACACHTuJAMy8F&#10;njsAAAA5AAAAEAAAAAAAAAABACAAAAAMAQAAZHJzL3NoYXBleG1sLnhtbFBLBQYAAAAABgAGAFsB&#10;AAC2AwAAAAA=&#10;">
                <v:fill on="f" focussize="0,0"/>
                <v:stroke weight="0.72pt" color="#417DE2" joinstyle="round"/>
                <v:imagedata o:title=""/>
                <o:lock v:ext="edit" aspectratio="f"/>
              </v:lin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766448"/>
    <w:multiLevelType w:val="singleLevel"/>
    <w:tmpl w:val="E5766448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1">
    <w:nsid w:val="00D9ECF3"/>
    <w:multiLevelType w:val="singleLevel"/>
    <w:tmpl w:val="00D9ECF3"/>
    <w:lvl w:ilvl="0" w:tentative="0">
      <w:start w:val="5"/>
      <w:numFmt w:val="chineseCounting"/>
      <w:suff w:val="space"/>
      <w:lvlText w:val="第%1章"/>
      <w:lvlJc w:val="left"/>
      <w:rPr>
        <w:rFonts w:hint="eastAsia" w:ascii="微软雅黑" w:hAnsi="微软雅黑" w:eastAsia="微软雅黑" w:cs="微软雅黑"/>
        <w:color w:val="023985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RiN2QzNzRiMzgzMzFmZDc1OGNjZDdlMzM2NDU5MjQifQ=="/>
  </w:docVars>
  <w:rsids>
    <w:rsidRoot w:val="00A00FA8"/>
    <w:rsid w:val="00000C31"/>
    <w:rsid w:val="000070D4"/>
    <w:rsid w:val="00014A32"/>
    <w:rsid w:val="00040288"/>
    <w:rsid w:val="00043226"/>
    <w:rsid w:val="00057D50"/>
    <w:rsid w:val="00065FAA"/>
    <w:rsid w:val="00072B0C"/>
    <w:rsid w:val="00075B84"/>
    <w:rsid w:val="000A1EB1"/>
    <w:rsid w:val="000B2E6C"/>
    <w:rsid w:val="000E7CD4"/>
    <w:rsid w:val="000F4125"/>
    <w:rsid w:val="00105328"/>
    <w:rsid w:val="0012553D"/>
    <w:rsid w:val="00131D31"/>
    <w:rsid w:val="00142385"/>
    <w:rsid w:val="00147564"/>
    <w:rsid w:val="00156873"/>
    <w:rsid w:val="00163E93"/>
    <w:rsid w:val="00171905"/>
    <w:rsid w:val="001A085A"/>
    <w:rsid w:val="001A2FEE"/>
    <w:rsid w:val="001A73BD"/>
    <w:rsid w:val="001D0DE6"/>
    <w:rsid w:val="001D4A02"/>
    <w:rsid w:val="001D4DEB"/>
    <w:rsid w:val="001E199A"/>
    <w:rsid w:val="001E6604"/>
    <w:rsid w:val="001F1E43"/>
    <w:rsid w:val="001F3CEF"/>
    <w:rsid w:val="002441C4"/>
    <w:rsid w:val="00267FDC"/>
    <w:rsid w:val="00275DD1"/>
    <w:rsid w:val="00285CFC"/>
    <w:rsid w:val="00290AB8"/>
    <w:rsid w:val="00295B0F"/>
    <w:rsid w:val="002A062F"/>
    <w:rsid w:val="002A0BCD"/>
    <w:rsid w:val="002A3CAD"/>
    <w:rsid w:val="002A419B"/>
    <w:rsid w:val="002A5191"/>
    <w:rsid w:val="002B576A"/>
    <w:rsid w:val="002B5C3F"/>
    <w:rsid w:val="002B6102"/>
    <w:rsid w:val="002D53C6"/>
    <w:rsid w:val="002F3468"/>
    <w:rsid w:val="00320A72"/>
    <w:rsid w:val="003440C5"/>
    <w:rsid w:val="00351224"/>
    <w:rsid w:val="00353BFA"/>
    <w:rsid w:val="00355A79"/>
    <w:rsid w:val="003619C1"/>
    <w:rsid w:val="0036672F"/>
    <w:rsid w:val="00367511"/>
    <w:rsid w:val="00371AB0"/>
    <w:rsid w:val="00371CF7"/>
    <w:rsid w:val="003937A8"/>
    <w:rsid w:val="00394C43"/>
    <w:rsid w:val="00396E76"/>
    <w:rsid w:val="003A2B1B"/>
    <w:rsid w:val="003A6143"/>
    <w:rsid w:val="003A6A42"/>
    <w:rsid w:val="003C4909"/>
    <w:rsid w:val="003D7250"/>
    <w:rsid w:val="003F0539"/>
    <w:rsid w:val="003F3A14"/>
    <w:rsid w:val="004038DC"/>
    <w:rsid w:val="00414339"/>
    <w:rsid w:val="00421A03"/>
    <w:rsid w:val="004369CF"/>
    <w:rsid w:val="004531F6"/>
    <w:rsid w:val="00457284"/>
    <w:rsid w:val="0046485F"/>
    <w:rsid w:val="00474CA7"/>
    <w:rsid w:val="004828E0"/>
    <w:rsid w:val="004916E7"/>
    <w:rsid w:val="00495CA0"/>
    <w:rsid w:val="004A17BC"/>
    <w:rsid w:val="004A6B8A"/>
    <w:rsid w:val="004C129E"/>
    <w:rsid w:val="004D2092"/>
    <w:rsid w:val="004D5FB1"/>
    <w:rsid w:val="004E067E"/>
    <w:rsid w:val="004F05BF"/>
    <w:rsid w:val="004F77B3"/>
    <w:rsid w:val="005113FB"/>
    <w:rsid w:val="005143AD"/>
    <w:rsid w:val="00520537"/>
    <w:rsid w:val="0052697A"/>
    <w:rsid w:val="00531A62"/>
    <w:rsid w:val="00535A9B"/>
    <w:rsid w:val="00542522"/>
    <w:rsid w:val="005453B4"/>
    <w:rsid w:val="00547D67"/>
    <w:rsid w:val="00551CED"/>
    <w:rsid w:val="00552514"/>
    <w:rsid w:val="005542ED"/>
    <w:rsid w:val="005577F8"/>
    <w:rsid w:val="00563AA3"/>
    <w:rsid w:val="00571601"/>
    <w:rsid w:val="005723CA"/>
    <w:rsid w:val="00573D8F"/>
    <w:rsid w:val="005754B2"/>
    <w:rsid w:val="0057698D"/>
    <w:rsid w:val="00580D0D"/>
    <w:rsid w:val="00595411"/>
    <w:rsid w:val="005A4C43"/>
    <w:rsid w:val="005B1B6B"/>
    <w:rsid w:val="005B478B"/>
    <w:rsid w:val="005B6CFD"/>
    <w:rsid w:val="005C2120"/>
    <w:rsid w:val="005C6987"/>
    <w:rsid w:val="005C6DAC"/>
    <w:rsid w:val="005D56B9"/>
    <w:rsid w:val="005D5886"/>
    <w:rsid w:val="005E07E1"/>
    <w:rsid w:val="005E7BDD"/>
    <w:rsid w:val="005F03ED"/>
    <w:rsid w:val="005F2F13"/>
    <w:rsid w:val="005F5685"/>
    <w:rsid w:val="00617650"/>
    <w:rsid w:val="006235BC"/>
    <w:rsid w:val="006242D4"/>
    <w:rsid w:val="00646F11"/>
    <w:rsid w:val="0065469D"/>
    <w:rsid w:val="00660DC6"/>
    <w:rsid w:val="00661437"/>
    <w:rsid w:val="00687E32"/>
    <w:rsid w:val="00694777"/>
    <w:rsid w:val="00695B93"/>
    <w:rsid w:val="00697AF8"/>
    <w:rsid w:val="006A6113"/>
    <w:rsid w:val="006B2D47"/>
    <w:rsid w:val="006B43CB"/>
    <w:rsid w:val="006B64FB"/>
    <w:rsid w:val="00700C7C"/>
    <w:rsid w:val="00701338"/>
    <w:rsid w:val="007016A4"/>
    <w:rsid w:val="00705F59"/>
    <w:rsid w:val="00706345"/>
    <w:rsid w:val="00732C61"/>
    <w:rsid w:val="00733E05"/>
    <w:rsid w:val="00735332"/>
    <w:rsid w:val="00766796"/>
    <w:rsid w:val="00783F62"/>
    <w:rsid w:val="0079319D"/>
    <w:rsid w:val="007A2ECA"/>
    <w:rsid w:val="007B204A"/>
    <w:rsid w:val="007B566A"/>
    <w:rsid w:val="007C224F"/>
    <w:rsid w:val="007C2DCB"/>
    <w:rsid w:val="007C5CDA"/>
    <w:rsid w:val="007D4816"/>
    <w:rsid w:val="007E0907"/>
    <w:rsid w:val="007E2196"/>
    <w:rsid w:val="007F0826"/>
    <w:rsid w:val="00803FEE"/>
    <w:rsid w:val="00835131"/>
    <w:rsid w:val="0085787F"/>
    <w:rsid w:val="00867408"/>
    <w:rsid w:val="00876E15"/>
    <w:rsid w:val="00890DBF"/>
    <w:rsid w:val="008931AB"/>
    <w:rsid w:val="008C2A01"/>
    <w:rsid w:val="008D4ED4"/>
    <w:rsid w:val="008E58D4"/>
    <w:rsid w:val="008F2BE6"/>
    <w:rsid w:val="008F387D"/>
    <w:rsid w:val="009127F9"/>
    <w:rsid w:val="00917118"/>
    <w:rsid w:val="00922DB0"/>
    <w:rsid w:val="009247C5"/>
    <w:rsid w:val="009261F3"/>
    <w:rsid w:val="00926695"/>
    <w:rsid w:val="00931CD4"/>
    <w:rsid w:val="0093259C"/>
    <w:rsid w:val="00934661"/>
    <w:rsid w:val="00941D95"/>
    <w:rsid w:val="00944243"/>
    <w:rsid w:val="00956DC9"/>
    <w:rsid w:val="0095715F"/>
    <w:rsid w:val="00961E59"/>
    <w:rsid w:val="00967467"/>
    <w:rsid w:val="009738F0"/>
    <w:rsid w:val="0098558C"/>
    <w:rsid w:val="00985A3C"/>
    <w:rsid w:val="00993B8C"/>
    <w:rsid w:val="00994479"/>
    <w:rsid w:val="009A314F"/>
    <w:rsid w:val="009C79BC"/>
    <w:rsid w:val="009E484E"/>
    <w:rsid w:val="009F06BA"/>
    <w:rsid w:val="009F5F3C"/>
    <w:rsid w:val="00A00FA8"/>
    <w:rsid w:val="00A0401E"/>
    <w:rsid w:val="00A067C5"/>
    <w:rsid w:val="00A20B9C"/>
    <w:rsid w:val="00A22C2B"/>
    <w:rsid w:val="00A45AD8"/>
    <w:rsid w:val="00A703B0"/>
    <w:rsid w:val="00A73A7B"/>
    <w:rsid w:val="00A928BC"/>
    <w:rsid w:val="00A96837"/>
    <w:rsid w:val="00AA210F"/>
    <w:rsid w:val="00AA64D6"/>
    <w:rsid w:val="00AB1081"/>
    <w:rsid w:val="00AB5B09"/>
    <w:rsid w:val="00AC6BF5"/>
    <w:rsid w:val="00AD3722"/>
    <w:rsid w:val="00AE08FB"/>
    <w:rsid w:val="00AE3AF5"/>
    <w:rsid w:val="00AF76A9"/>
    <w:rsid w:val="00AF7A5D"/>
    <w:rsid w:val="00B11EA4"/>
    <w:rsid w:val="00B1571B"/>
    <w:rsid w:val="00B565E3"/>
    <w:rsid w:val="00B6296D"/>
    <w:rsid w:val="00B71055"/>
    <w:rsid w:val="00B86068"/>
    <w:rsid w:val="00B95464"/>
    <w:rsid w:val="00BA31DA"/>
    <w:rsid w:val="00BA5ECE"/>
    <w:rsid w:val="00BB15CA"/>
    <w:rsid w:val="00BC182C"/>
    <w:rsid w:val="00BD525C"/>
    <w:rsid w:val="00BE19BA"/>
    <w:rsid w:val="00BE3B12"/>
    <w:rsid w:val="00BE476E"/>
    <w:rsid w:val="00C0539F"/>
    <w:rsid w:val="00C0649A"/>
    <w:rsid w:val="00C15B39"/>
    <w:rsid w:val="00C249DC"/>
    <w:rsid w:val="00C27023"/>
    <w:rsid w:val="00C3189C"/>
    <w:rsid w:val="00C335FA"/>
    <w:rsid w:val="00C367AD"/>
    <w:rsid w:val="00C4277C"/>
    <w:rsid w:val="00C5345A"/>
    <w:rsid w:val="00C56FFD"/>
    <w:rsid w:val="00C60FC9"/>
    <w:rsid w:val="00C63D55"/>
    <w:rsid w:val="00C65C7C"/>
    <w:rsid w:val="00C74C01"/>
    <w:rsid w:val="00C77BA9"/>
    <w:rsid w:val="00C956D4"/>
    <w:rsid w:val="00C97576"/>
    <w:rsid w:val="00CA2FA5"/>
    <w:rsid w:val="00CA5664"/>
    <w:rsid w:val="00CB62D4"/>
    <w:rsid w:val="00CC51AF"/>
    <w:rsid w:val="00CE06B6"/>
    <w:rsid w:val="00CE646B"/>
    <w:rsid w:val="00D04843"/>
    <w:rsid w:val="00D157FE"/>
    <w:rsid w:val="00D359EC"/>
    <w:rsid w:val="00D5328D"/>
    <w:rsid w:val="00D74111"/>
    <w:rsid w:val="00D82DBE"/>
    <w:rsid w:val="00D85159"/>
    <w:rsid w:val="00DA4063"/>
    <w:rsid w:val="00DA603F"/>
    <w:rsid w:val="00DA7532"/>
    <w:rsid w:val="00DB0920"/>
    <w:rsid w:val="00DC3401"/>
    <w:rsid w:val="00DD1A2A"/>
    <w:rsid w:val="00DE0B85"/>
    <w:rsid w:val="00E03229"/>
    <w:rsid w:val="00E22130"/>
    <w:rsid w:val="00E26F47"/>
    <w:rsid w:val="00E36795"/>
    <w:rsid w:val="00E46662"/>
    <w:rsid w:val="00E5306D"/>
    <w:rsid w:val="00E67CDB"/>
    <w:rsid w:val="00E7274B"/>
    <w:rsid w:val="00E72847"/>
    <w:rsid w:val="00E97F8F"/>
    <w:rsid w:val="00EB2C3F"/>
    <w:rsid w:val="00EB78CB"/>
    <w:rsid w:val="00ED1A17"/>
    <w:rsid w:val="00ED6418"/>
    <w:rsid w:val="00F035A7"/>
    <w:rsid w:val="00F047AF"/>
    <w:rsid w:val="00F0620A"/>
    <w:rsid w:val="00F06E76"/>
    <w:rsid w:val="00F32EA8"/>
    <w:rsid w:val="00F35B22"/>
    <w:rsid w:val="00F41822"/>
    <w:rsid w:val="00F502A1"/>
    <w:rsid w:val="00F51F08"/>
    <w:rsid w:val="00F57AF6"/>
    <w:rsid w:val="00F83F49"/>
    <w:rsid w:val="00FB710D"/>
    <w:rsid w:val="00FC743D"/>
    <w:rsid w:val="00FD339C"/>
    <w:rsid w:val="00FF763A"/>
    <w:rsid w:val="017075AC"/>
    <w:rsid w:val="01A5754A"/>
    <w:rsid w:val="01C92B8B"/>
    <w:rsid w:val="01F569C3"/>
    <w:rsid w:val="02315BCD"/>
    <w:rsid w:val="056A4E92"/>
    <w:rsid w:val="056C30CA"/>
    <w:rsid w:val="06AB7943"/>
    <w:rsid w:val="078603BA"/>
    <w:rsid w:val="07FB1D10"/>
    <w:rsid w:val="086A1CFD"/>
    <w:rsid w:val="087708EA"/>
    <w:rsid w:val="087F1DB3"/>
    <w:rsid w:val="08C0572F"/>
    <w:rsid w:val="08ED7BB8"/>
    <w:rsid w:val="0A493DEA"/>
    <w:rsid w:val="0A6849C7"/>
    <w:rsid w:val="0A7239BF"/>
    <w:rsid w:val="0AA901EF"/>
    <w:rsid w:val="0AAA09A8"/>
    <w:rsid w:val="0BAD516A"/>
    <w:rsid w:val="0BD67DDE"/>
    <w:rsid w:val="0C2B7C3D"/>
    <w:rsid w:val="0C4827BD"/>
    <w:rsid w:val="0CD65B8E"/>
    <w:rsid w:val="0CEE19BD"/>
    <w:rsid w:val="0DBF0AFB"/>
    <w:rsid w:val="0E1A3E2B"/>
    <w:rsid w:val="0E7E749E"/>
    <w:rsid w:val="0EF669FF"/>
    <w:rsid w:val="0F104446"/>
    <w:rsid w:val="0F782738"/>
    <w:rsid w:val="0FFC4890"/>
    <w:rsid w:val="103D4886"/>
    <w:rsid w:val="10D71C2C"/>
    <w:rsid w:val="11155606"/>
    <w:rsid w:val="111C3135"/>
    <w:rsid w:val="11963DB3"/>
    <w:rsid w:val="11C01114"/>
    <w:rsid w:val="11C1674F"/>
    <w:rsid w:val="11FC39D9"/>
    <w:rsid w:val="12005607"/>
    <w:rsid w:val="123E4D95"/>
    <w:rsid w:val="12A85301"/>
    <w:rsid w:val="132358E1"/>
    <w:rsid w:val="13613565"/>
    <w:rsid w:val="145566C4"/>
    <w:rsid w:val="149F4C63"/>
    <w:rsid w:val="14B000B4"/>
    <w:rsid w:val="15182C10"/>
    <w:rsid w:val="152B1545"/>
    <w:rsid w:val="15601B68"/>
    <w:rsid w:val="156222A8"/>
    <w:rsid w:val="15BF00EA"/>
    <w:rsid w:val="15FE7CED"/>
    <w:rsid w:val="162A13E2"/>
    <w:rsid w:val="165F554D"/>
    <w:rsid w:val="1762520C"/>
    <w:rsid w:val="17D47D20"/>
    <w:rsid w:val="184E161F"/>
    <w:rsid w:val="192B687B"/>
    <w:rsid w:val="1A1C7574"/>
    <w:rsid w:val="1AA209A5"/>
    <w:rsid w:val="1AF61575"/>
    <w:rsid w:val="1BBA2333"/>
    <w:rsid w:val="1BBA641D"/>
    <w:rsid w:val="1BF71DCE"/>
    <w:rsid w:val="1C6E7C5C"/>
    <w:rsid w:val="1CF77EA1"/>
    <w:rsid w:val="1D931C9C"/>
    <w:rsid w:val="1EA92C04"/>
    <w:rsid w:val="1F0D68BE"/>
    <w:rsid w:val="1F8D7E18"/>
    <w:rsid w:val="1FC3662C"/>
    <w:rsid w:val="1FC410BD"/>
    <w:rsid w:val="20980C3F"/>
    <w:rsid w:val="215C7383"/>
    <w:rsid w:val="22BA3191"/>
    <w:rsid w:val="23AD62CD"/>
    <w:rsid w:val="23D8581A"/>
    <w:rsid w:val="24046423"/>
    <w:rsid w:val="251B4701"/>
    <w:rsid w:val="25E16441"/>
    <w:rsid w:val="27033B49"/>
    <w:rsid w:val="272D12A8"/>
    <w:rsid w:val="273B2A92"/>
    <w:rsid w:val="27937A69"/>
    <w:rsid w:val="27E807D2"/>
    <w:rsid w:val="28AF00ED"/>
    <w:rsid w:val="292A7139"/>
    <w:rsid w:val="29640D6B"/>
    <w:rsid w:val="299B610D"/>
    <w:rsid w:val="29AB6667"/>
    <w:rsid w:val="2A3239B4"/>
    <w:rsid w:val="2A6E6AF2"/>
    <w:rsid w:val="2AC70859"/>
    <w:rsid w:val="2AE66559"/>
    <w:rsid w:val="2AF24A60"/>
    <w:rsid w:val="2B2B7B1A"/>
    <w:rsid w:val="2BE066EF"/>
    <w:rsid w:val="2BE50DE4"/>
    <w:rsid w:val="2CC35360"/>
    <w:rsid w:val="2CEF5A79"/>
    <w:rsid w:val="2D431BE9"/>
    <w:rsid w:val="2D975026"/>
    <w:rsid w:val="2E034136"/>
    <w:rsid w:val="2E922438"/>
    <w:rsid w:val="300776A0"/>
    <w:rsid w:val="30327B10"/>
    <w:rsid w:val="30DA5579"/>
    <w:rsid w:val="31850B39"/>
    <w:rsid w:val="31866602"/>
    <w:rsid w:val="326E54B0"/>
    <w:rsid w:val="328131B7"/>
    <w:rsid w:val="33B31DDE"/>
    <w:rsid w:val="33E0353E"/>
    <w:rsid w:val="34520EF7"/>
    <w:rsid w:val="352E75E5"/>
    <w:rsid w:val="35640961"/>
    <w:rsid w:val="362669F9"/>
    <w:rsid w:val="363772CB"/>
    <w:rsid w:val="368E476A"/>
    <w:rsid w:val="371358C5"/>
    <w:rsid w:val="38880E6C"/>
    <w:rsid w:val="389157C4"/>
    <w:rsid w:val="39220BFC"/>
    <w:rsid w:val="3990675C"/>
    <w:rsid w:val="39F20260"/>
    <w:rsid w:val="3A3957ED"/>
    <w:rsid w:val="3A470F86"/>
    <w:rsid w:val="3B053A79"/>
    <w:rsid w:val="3B09446C"/>
    <w:rsid w:val="3B5E5FBE"/>
    <w:rsid w:val="3B720853"/>
    <w:rsid w:val="3BE87FE6"/>
    <w:rsid w:val="3CB261FF"/>
    <w:rsid w:val="3CE41AA3"/>
    <w:rsid w:val="3D164B66"/>
    <w:rsid w:val="3D177C65"/>
    <w:rsid w:val="3D3E7B94"/>
    <w:rsid w:val="3DB622E7"/>
    <w:rsid w:val="3DB7477A"/>
    <w:rsid w:val="3DC90C03"/>
    <w:rsid w:val="3E36682A"/>
    <w:rsid w:val="3E422A11"/>
    <w:rsid w:val="3EEC20C9"/>
    <w:rsid w:val="3F9C4E0B"/>
    <w:rsid w:val="3FD4459B"/>
    <w:rsid w:val="401F6101"/>
    <w:rsid w:val="40345059"/>
    <w:rsid w:val="40940BFA"/>
    <w:rsid w:val="40A437E6"/>
    <w:rsid w:val="40B1693A"/>
    <w:rsid w:val="40CE3A29"/>
    <w:rsid w:val="40E20995"/>
    <w:rsid w:val="4141628F"/>
    <w:rsid w:val="418C20F1"/>
    <w:rsid w:val="419B6181"/>
    <w:rsid w:val="41B4204A"/>
    <w:rsid w:val="421C6024"/>
    <w:rsid w:val="423A7185"/>
    <w:rsid w:val="42CA1820"/>
    <w:rsid w:val="43F8583E"/>
    <w:rsid w:val="45042C64"/>
    <w:rsid w:val="45711038"/>
    <w:rsid w:val="46187392"/>
    <w:rsid w:val="463C788B"/>
    <w:rsid w:val="465B3E11"/>
    <w:rsid w:val="465F6771"/>
    <w:rsid w:val="46684913"/>
    <w:rsid w:val="46D313DA"/>
    <w:rsid w:val="476837BF"/>
    <w:rsid w:val="47C33621"/>
    <w:rsid w:val="47EA1E76"/>
    <w:rsid w:val="48B40046"/>
    <w:rsid w:val="493C0A00"/>
    <w:rsid w:val="49574903"/>
    <w:rsid w:val="49676A00"/>
    <w:rsid w:val="49A14330"/>
    <w:rsid w:val="49B11AD6"/>
    <w:rsid w:val="4A1A783E"/>
    <w:rsid w:val="4A8141C0"/>
    <w:rsid w:val="4A9C4214"/>
    <w:rsid w:val="4AB06414"/>
    <w:rsid w:val="4B4448D6"/>
    <w:rsid w:val="4B4F2B3B"/>
    <w:rsid w:val="4BE0050C"/>
    <w:rsid w:val="4C04620A"/>
    <w:rsid w:val="4C5F7334"/>
    <w:rsid w:val="4CF90E4A"/>
    <w:rsid w:val="4D175F98"/>
    <w:rsid w:val="4D2466E3"/>
    <w:rsid w:val="4D3258E7"/>
    <w:rsid w:val="4E046F84"/>
    <w:rsid w:val="4E0A4EB1"/>
    <w:rsid w:val="4E7A2BB2"/>
    <w:rsid w:val="4EDB65A0"/>
    <w:rsid w:val="4F541F1F"/>
    <w:rsid w:val="4F89131D"/>
    <w:rsid w:val="4FAB5BD3"/>
    <w:rsid w:val="4FD660A6"/>
    <w:rsid w:val="50C27804"/>
    <w:rsid w:val="5188397C"/>
    <w:rsid w:val="5223467E"/>
    <w:rsid w:val="52885C04"/>
    <w:rsid w:val="529D3CB8"/>
    <w:rsid w:val="53776C94"/>
    <w:rsid w:val="53893FE5"/>
    <w:rsid w:val="53B80D71"/>
    <w:rsid w:val="53B810F5"/>
    <w:rsid w:val="53E16186"/>
    <w:rsid w:val="54866A23"/>
    <w:rsid w:val="54EB7DC2"/>
    <w:rsid w:val="55FE48DF"/>
    <w:rsid w:val="56093400"/>
    <w:rsid w:val="568C0C00"/>
    <w:rsid w:val="57071939"/>
    <w:rsid w:val="57AE3BB6"/>
    <w:rsid w:val="58050B3C"/>
    <w:rsid w:val="58386A24"/>
    <w:rsid w:val="583F666D"/>
    <w:rsid w:val="59010C45"/>
    <w:rsid w:val="592F7362"/>
    <w:rsid w:val="595B59C3"/>
    <w:rsid w:val="59D72DF2"/>
    <w:rsid w:val="59F83A6D"/>
    <w:rsid w:val="5A5D0E53"/>
    <w:rsid w:val="5A73714D"/>
    <w:rsid w:val="5AB135DF"/>
    <w:rsid w:val="5AB205D7"/>
    <w:rsid w:val="5ADF2D07"/>
    <w:rsid w:val="5B815100"/>
    <w:rsid w:val="5BDD1AF0"/>
    <w:rsid w:val="5BF84522"/>
    <w:rsid w:val="5BFF1741"/>
    <w:rsid w:val="5C2F3A5A"/>
    <w:rsid w:val="5D510799"/>
    <w:rsid w:val="5D6E6D3C"/>
    <w:rsid w:val="5E174850"/>
    <w:rsid w:val="5E8E5BD4"/>
    <w:rsid w:val="5F476115"/>
    <w:rsid w:val="5F4D2BC5"/>
    <w:rsid w:val="602D5ABC"/>
    <w:rsid w:val="60BA6E68"/>
    <w:rsid w:val="619D4825"/>
    <w:rsid w:val="620C1944"/>
    <w:rsid w:val="62F46151"/>
    <w:rsid w:val="630B6A5F"/>
    <w:rsid w:val="635F7311"/>
    <w:rsid w:val="63D81EEA"/>
    <w:rsid w:val="63EC5EBC"/>
    <w:rsid w:val="643F2156"/>
    <w:rsid w:val="644E77CE"/>
    <w:rsid w:val="647B16F1"/>
    <w:rsid w:val="659464F8"/>
    <w:rsid w:val="65F04A50"/>
    <w:rsid w:val="66CA1DFE"/>
    <w:rsid w:val="66CD4642"/>
    <w:rsid w:val="67464FAF"/>
    <w:rsid w:val="674656C1"/>
    <w:rsid w:val="679D6045"/>
    <w:rsid w:val="67C001E9"/>
    <w:rsid w:val="67D852BF"/>
    <w:rsid w:val="68651E99"/>
    <w:rsid w:val="68EB76CD"/>
    <w:rsid w:val="697457CB"/>
    <w:rsid w:val="6982740E"/>
    <w:rsid w:val="6B395E91"/>
    <w:rsid w:val="6B4652C2"/>
    <w:rsid w:val="6B8B50E3"/>
    <w:rsid w:val="6B9B1F3C"/>
    <w:rsid w:val="6C95685F"/>
    <w:rsid w:val="6C9E2BEA"/>
    <w:rsid w:val="6CF03CFF"/>
    <w:rsid w:val="6CFB2C2E"/>
    <w:rsid w:val="6D98710C"/>
    <w:rsid w:val="6DC81642"/>
    <w:rsid w:val="6DDE74AA"/>
    <w:rsid w:val="6E3624A8"/>
    <w:rsid w:val="6EAC387C"/>
    <w:rsid w:val="6F0F0E54"/>
    <w:rsid w:val="6F4274D9"/>
    <w:rsid w:val="7086284B"/>
    <w:rsid w:val="70E56154"/>
    <w:rsid w:val="7143629C"/>
    <w:rsid w:val="71470E34"/>
    <w:rsid w:val="71A66FF2"/>
    <w:rsid w:val="73013DE0"/>
    <w:rsid w:val="73612682"/>
    <w:rsid w:val="73E15771"/>
    <w:rsid w:val="73E904EB"/>
    <w:rsid w:val="746E36DA"/>
    <w:rsid w:val="749F19ED"/>
    <w:rsid w:val="75711216"/>
    <w:rsid w:val="759B3D66"/>
    <w:rsid w:val="760B33FE"/>
    <w:rsid w:val="763336EC"/>
    <w:rsid w:val="76487032"/>
    <w:rsid w:val="778F1054"/>
    <w:rsid w:val="78617B34"/>
    <w:rsid w:val="78C92BDD"/>
    <w:rsid w:val="7906489A"/>
    <w:rsid w:val="79253894"/>
    <w:rsid w:val="793639F9"/>
    <w:rsid w:val="79694087"/>
    <w:rsid w:val="798421C4"/>
    <w:rsid w:val="79B6435B"/>
    <w:rsid w:val="79D42265"/>
    <w:rsid w:val="7A0F24D8"/>
    <w:rsid w:val="7A6E01E1"/>
    <w:rsid w:val="7A9441F8"/>
    <w:rsid w:val="7ABA7367"/>
    <w:rsid w:val="7B325665"/>
    <w:rsid w:val="7B99283A"/>
    <w:rsid w:val="7C01033C"/>
    <w:rsid w:val="7C211032"/>
    <w:rsid w:val="7C7F515D"/>
    <w:rsid w:val="7C8F2455"/>
    <w:rsid w:val="7DA561B5"/>
    <w:rsid w:val="7E1613D8"/>
    <w:rsid w:val="7E351853"/>
    <w:rsid w:val="7F4A04B0"/>
    <w:rsid w:val="7F6E6FEB"/>
    <w:rsid w:val="7F70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1" w:semiHidden="0" w:name="heading 6"/>
    <w:lsdException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0" w:semiHidden="0" w:name="toc 6"/>
    <w:lsdException w:qFormat="1" w:uiPriority="0" w:semiHidden="0" w:name="toc 7"/>
    <w:lsdException w:qFormat="1" w:uiPriority="0" w:semiHidden="0" w:name="toc 8"/>
    <w:lsdException w:qFormat="1" w:uiPriority="0" w:semiHidden="0" w:name="toc 9"/>
    <w:lsdException w:uiPriority="0" w:name="Normal Indent"/>
    <w:lsdException w:uiPriority="0" w:name="footnote text"/>
    <w:lsdException w:qFormat="1" w:unhideWhenUsed="0" w:uiPriority="2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2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2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unhideWhenUsed="0" w:uiPriority="2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2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00" w:lineRule="auto"/>
      <w:ind w:firstLine="200" w:firstLineChars="200"/>
    </w:pPr>
    <w:rPr>
      <w:rFonts w:ascii="Times New Roman" w:hAnsi="Times New Roman" w:eastAsia="楷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1"/>
    <w:pPr>
      <w:keepNext/>
      <w:keepLines/>
      <w:ind w:firstLine="0" w:firstLineChars="0"/>
      <w:jc w:val="center"/>
      <w:outlineLvl w:val="0"/>
    </w:pPr>
    <w:rPr>
      <w:rFonts w:eastAsia="微软雅黑"/>
      <w:b/>
      <w:color w:val="023985"/>
      <w:kern w:val="44"/>
      <w:sz w:val="52"/>
    </w:rPr>
  </w:style>
  <w:style w:type="paragraph" w:styleId="3">
    <w:name w:val="heading 2"/>
    <w:basedOn w:val="1"/>
    <w:next w:val="1"/>
    <w:link w:val="52"/>
    <w:qFormat/>
    <w:uiPriority w:val="1"/>
    <w:pPr>
      <w:keepNext/>
      <w:keepLines/>
      <w:ind w:firstLine="0" w:firstLineChars="0"/>
      <w:outlineLvl w:val="1"/>
    </w:pPr>
    <w:rPr>
      <w:rFonts w:eastAsia="微软雅黑"/>
      <w:b/>
      <w:color w:val="023985"/>
      <w:sz w:val="28"/>
    </w:rPr>
  </w:style>
  <w:style w:type="paragraph" w:styleId="4">
    <w:name w:val="heading 3"/>
    <w:basedOn w:val="1"/>
    <w:next w:val="1"/>
    <w:link w:val="43"/>
    <w:qFormat/>
    <w:uiPriority w:val="1"/>
    <w:pPr>
      <w:keepNext/>
      <w:keepLines/>
      <w:ind w:firstLine="0" w:firstLineChars="0"/>
      <w:outlineLvl w:val="2"/>
    </w:pPr>
    <w:rPr>
      <w:rFonts w:eastAsia="微软雅黑"/>
      <w:b/>
      <w:color w:val="023985"/>
    </w:rPr>
  </w:style>
  <w:style w:type="paragraph" w:styleId="5">
    <w:name w:val="heading 4"/>
    <w:basedOn w:val="1"/>
    <w:next w:val="1"/>
    <w:link w:val="44"/>
    <w:qFormat/>
    <w:uiPriority w:val="1"/>
    <w:pPr>
      <w:keepNext/>
      <w:keepLines/>
      <w:spacing w:before="0" w:beforeAutospacing="0" w:after="0" w:afterAutospacing="0" w:line="240" w:lineRule="auto"/>
      <w:ind w:firstLine="0" w:firstLineChars="0"/>
      <w:outlineLvl w:val="3"/>
    </w:pPr>
    <w:rPr>
      <w:rFonts w:cstheme="majorBidi"/>
      <w:b/>
      <w:bCs/>
      <w:color w:val="023985"/>
      <w:szCs w:val="28"/>
    </w:rPr>
  </w:style>
  <w:style w:type="paragraph" w:styleId="6">
    <w:name w:val="heading 5"/>
    <w:basedOn w:val="1"/>
    <w:next w:val="1"/>
    <w:link w:val="46"/>
    <w:qFormat/>
    <w:uiPriority w:val="1"/>
    <w:pPr>
      <w:keepNext/>
      <w:keepLines/>
      <w:spacing w:before="0" w:beforeAutospacing="0" w:after="0" w:afterAutospacing="0" w:line="240" w:lineRule="auto"/>
      <w:ind w:firstLine="0" w:firstLineChars="0"/>
      <w:jc w:val="center"/>
      <w:outlineLvl w:val="4"/>
    </w:pPr>
    <w:rPr>
      <w:b/>
      <w:bCs/>
      <w:color w:val="023985"/>
      <w:szCs w:val="28"/>
    </w:rPr>
  </w:style>
  <w:style w:type="paragraph" w:styleId="7">
    <w:name w:val="heading 6"/>
    <w:basedOn w:val="1"/>
    <w:next w:val="1"/>
    <w:link w:val="47"/>
    <w:unhideWhenUsed/>
    <w:qFormat/>
    <w:uiPriority w:val="1"/>
    <w:pPr>
      <w:keepNext/>
      <w:keepLines/>
      <w:spacing w:before="0" w:beforeAutospacing="0" w:after="0" w:afterAutospacing="0" w:line="240" w:lineRule="auto"/>
      <w:ind w:firstLine="0" w:firstLineChars="0"/>
      <w:outlineLvl w:val="5"/>
    </w:pPr>
    <w:rPr>
      <w:rFonts w:cstheme="majorBidi"/>
      <w:b/>
      <w:bCs/>
      <w:color w:val="023985"/>
      <w:szCs w:val="24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0"/>
    <w:pPr>
      <w:ind w:left="1440"/>
    </w:pPr>
    <w:rPr>
      <w:rFonts w:cstheme="minorHAnsi"/>
      <w:sz w:val="18"/>
      <w:szCs w:val="18"/>
    </w:rPr>
  </w:style>
  <w:style w:type="paragraph" w:styleId="9">
    <w:name w:val="annotation text"/>
    <w:basedOn w:val="1"/>
    <w:link w:val="38"/>
    <w:qFormat/>
    <w:uiPriority w:val="2"/>
  </w:style>
  <w:style w:type="paragraph" w:styleId="10">
    <w:name w:val="Body Text"/>
    <w:basedOn w:val="1"/>
    <w:qFormat/>
    <w:uiPriority w:val="1"/>
    <w:pPr>
      <w:spacing w:before="213"/>
      <w:ind w:left="960" w:hanging="420"/>
    </w:pPr>
    <w:rPr>
      <w:szCs w:val="24"/>
    </w:rPr>
  </w:style>
  <w:style w:type="paragraph" w:styleId="11">
    <w:name w:val="toc 5"/>
    <w:basedOn w:val="1"/>
    <w:next w:val="1"/>
    <w:unhideWhenUsed/>
    <w:qFormat/>
    <w:uiPriority w:val="39"/>
    <w:pPr>
      <w:tabs>
        <w:tab w:val="right" w:leader="dot" w:pos="8980"/>
      </w:tabs>
      <w:ind w:left="567" w:firstLine="425" w:firstLineChars="236"/>
    </w:pPr>
    <w:rPr>
      <w:rFonts w:cstheme="minorHAns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480"/>
    </w:pPr>
    <w:rPr>
      <w:rFonts w:cstheme="minorHAnsi"/>
      <w:i/>
      <w:iCs/>
      <w:sz w:val="20"/>
      <w:szCs w:val="20"/>
    </w:rPr>
  </w:style>
  <w:style w:type="paragraph" w:styleId="13">
    <w:name w:val="toc 8"/>
    <w:basedOn w:val="1"/>
    <w:next w:val="1"/>
    <w:unhideWhenUsed/>
    <w:qFormat/>
    <w:uiPriority w:val="0"/>
    <w:pPr>
      <w:ind w:left="1680"/>
    </w:pPr>
    <w:rPr>
      <w:rFonts w:cstheme="minorHAnsi"/>
      <w:sz w:val="18"/>
      <w:szCs w:val="18"/>
    </w:rPr>
  </w:style>
  <w:style w:type="paragraph" w:styleId="14">
    <w:name w:val="Balloon Text"/>
    <w:basedOn w:val="1"/>
    <w:link w:val="39"/>
    <w:unhideWhenUsed/>
    <w:qFormat/>
    <w:uiPriority w:val="0"/>
    <w:rPr>
      <w:rFonts w:ascii="宋体" w:eastAsia="宋体"/>
      <w:sz w:val="18"/>
      <w:szCs w:val="18"/>
    </w:rPr>
  </w:style>
  <w:style w:type="paragraph" w:styleId="15">
    <w:name w:val="footer"/>
    <w:basedOn w:val="1"/>
    <w:link w:val="37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header"/>
    <w:basedOn w:val="1"/>
    <w:link w:val="3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7">
    <w:name w:val="toc 1"/>
    <w:basedOn w:val="1"/>
    <w:next w:val="1"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ind w:left="720"/>
    </w:pPr>
    <w:rPr>
      <w:rFonts w:cstheme="minorHAnsi"/>
      <w:sz w:val="18"/>
      <w:szCs w:val="18"/>
    </w:rPr>
  </w:style>
  <w:style w:type="paragraph" w:styleId="19">
    <w:name w:val="toc 6"/>
    <w:basedOn w:val="1"/>
    <w:next w:val="1"/>
    <w:unhideWhenUsed/>
    <w:qFormat/>
    <w:uiPriority w:val="0"/>
    <w:pPr>
      <w:ind w:left="1200"/>
    </w:pPr>
    <w:rPr>
      <w:rFonts w:cstheme="minorHAnsi"/>
      <w:sz w:val="18"/>
      <w:szCs w:val="18"/>
    </w:rPr>
  </w:style>
  <w:style w:type="paragraph" w:styleId="20">
    <w:name w:val="toc 2"/>
    <w:basedOn w:val="1"/>
    <w:next w:val="1"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0"/>
    <w:pPr>
      <w:ind w:left="1920"/>
    </w:pPr>
    <w:rPr>
      <w:rFonts w:cstheme="minorHAnsi"/>
      <w:sz w:val="18"/>
      <w:szCs w:val="18"/>
    </w:rPr>
  </w:style>
  <w:style w:type="paragraph" w:styleId="22">
    <w:name w:val="Normal (Web)"/>
    <w:basedOn w:val="1"/>
    <w:qFormat/>
    <w:uiPriority w:val="99"/>
    <w:rPr>
      <w:rFonts w:cs="宋体"/>
      <w:kern w:val="0"/>
      <w:szCs w:val="24"/>
    </w:rPr>
  </w:style>
  <w:style w:type="paragraph" w:styleId="23">
    <w:name w:val="Title"/>
    <w:basedOn w:val="1"/>
    <w:next w:val="1"/>
    <w:link w:val="45"/>
    <w:qFormat/>
    <w:uiPriority w:val="2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4">
    <w:name w:val="annotation subject"/>
    <w:basedOn w:val="9"/>
    <w:next w:val="9"/>
    <w:link w:val="50"/>
    <w:qFormat/>
    <w:uiPriority w:val="2"/>
    <w:rPr>
      <w:b/>
      <w:bCs/>
    </w:rPr>
  </w:style>
  <w:style w:type="table" w:styleId="26">
    <w:name w:val="Table Grid"/>
    <w:basedOn w:val="25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7">
    <w:name w:val="Light Shading"/>
    <w:qFormat/>
    <w:uiPriority w:val="60"/>
    <w:rPr>
      <w:rFonts w:eastAsia="宋体" w:cs="Times New Roman"/>
      <w:color w:val="000000" w:themeColor="text1" w:themeShade="BF"/>
      <w:kern w:val="0"/>
      <w:sz w:val="20"/>
      <w:szCs w:val="20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character" w:styleId="29">
    <w:name w:val="Strong"/>
    <w:basedOn w:val="28"/>
    <w:qFormat/>
    <w:uiPriority w:val="22"/>
    <w:rPr>
      <w:b/>
      <w:bCs/>
    </w:rPr>
  </w:style>
  <w:style w:type="character" w:styleId="30">
    <w:name w:val="Emphasis"/>
    <w:basedOn w:val="28"/>
    <w:qFormat/>
    <w:uiPriority w:val="2"/>
    <w:rPr>
      <w:i/>
      <w:iCs/>
    </w:rPr>
  </w:style>
  <w:style w:type="character" w:styleId="31">
    <w:name w:val="Hyperlink"/>
    <w:basedOn w:val="2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8"/>
    <w:qFormat/>
    <w:uiPriority w:val="2"/>
    <w:rPr>
      <w:rFonts w:eastAsia="楷体"/>
      <w:sz w:val="18"/>
      <w:szCs w:val="21"/>
    </w:rPr>
  </w:style>
  <w:style w:type="table" w:customStyle="1" w:styleId="3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4">
    <w:name w:val="List Paragraph"/>
    <w:basedOn w:val="1"/>
    <w:qFormat/>
    <w:uiPriority w:val="34"/>
    <w:pPr>
      <w:ind w:firstLine="420"/>
    </w:pPr>
  </w:style>
  <w:style w:type="paragraph" w:customStyle="1" w:styleId="35">
    <w:name w:val="Table Paragraph"/>
    <w:basedOn w:val="1"/>
    <w:qFormat/>
    <w:uiPriority w:val="1"/>
  </w:style>
  <w:style w:type="character" w:customStyle="1" w:styleId="36">
    <w:name w:val="页眉 字符"/>
    <w:basedOn w:val="28"/>
    <w:link w:val="16"/>
    <w:qFormat/>
    <w:uiPriority w:val="99"/>
    <w:rPr>
      <w:rFonts w:ascii="Times New Roman" w:hAnsi="Times New Roman" w:eastAsia="楷体"/>
      <w:kern w:val="2"/>
      <w:sz w:val="18"/>
      <w:szCs w:val="22"/>
    </w:rPr>
  </w:style>
  <w:style w:type="character" w:customStyle="1" w:styleId="37">
    <w:name w:val="页脚 字符"/>
    <w:basedOn w:val="28"/>
    <w:link w:val="15"/>
    <w:qFormat/>
    <w:uiPriority w:val="99"/>
    <w:rPr>
      <w:rFonts w:ascii="Times New Roman" w:hAnsi="Times New Roman" w:eastAsia="楷体"/>
      <w:kern w:val="2"/>
      <w:sz w:val="18"/>
      <w:szCs w:val="22"/>
    </w:rPr>
  </w:style>
  <w:style w:type="character" w:customStyle="1" w:styleId="38">
    <w:name w:val="批注文字 字符"/>
    <w:basedOn w:val="28"/>
    <w:link w:val="9"/>
    <w:qFormat/>
    <w:uiPriority w:val="2"/>
    <w:rPr>
      <w:rFonts w:ascii="Times New Roman" w:hAnsi="Times New Roman" w:eastAsia="楷体"/>
      <w:kern w:val="2"/>
      <w:sz w:val="24"/>
      <w:szCs w:val="22"/>
    </w:rPr>
  </w:style>
  <w:style w:type="character" w:customStyle="1" w:styleId="39">
    <w:name w:val="批注框文本 字符"/>
    <w:basedOn w:val="28"/>
    <w:link w:val="14"/>
    <w:qFormat/>
    <w:uiPriority w:val="0"/>
    <w:rPr>
      <w:rFonts w:ascii="宋体" w:hAnsi="Times New Roman" w:eastAsia="宋体"/>
      <w:kern w:val="2"/>
      <w:sz w:val="18"/>
      <w:szCs w:val="18"/>
    </w:rPr>
  </w:style>
  <w:style w:type="paragraph" w:customStyle="1" w:styleId="40">
    <w:name w:val="TOC 标题1"/>
    <w:basedOn w:val="2"/>
    <w:next w:val="1"/>
    <w:semiHidden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41">
    <w:name w:val="列出段落1"/>
    <w:basedOn w:val="1"/>
    <w:qFormat/>
    <w:uiPriority w:val="34"/>
    <w:pPr>
      <w:autoSpaceDE w:val="0"/>
      <w:autoSpaceDN w:val="0"/>
      <w:spacing w:before="213" w:line="240" w:lineRule="auto"/>
      <w:ind w:left="960" w:right="349" w:hanging="420" w:firstLineChars="0"/>
    </w:pPr>
    <w:rPr>
      <w:rFonts w:ascii="仿宋" w:hAnsi="仿宋" w:eastAsia="仿宋" w:cs="仿宋"/>
      <w:kern w:val="0"/>
      <w:sz w:val="22"/>
      <w:lang w:val="zh-CN" w:bidi="zh-CN"/>
    </w:rPr>
  </w:style>
  <w:style w:type="paragraph" w:customStyle="1" w:styleId="42">
    <w:name w:val="TOC 标题11"/>
    <w:basedOn w:val="2"/>
    <w:next w:val="1"/>
    <w:semiHidden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character" w:customStyle="1" w:styleId="43">
    <w:name w:val="标题 3 字符"/>
    <w:basedOn w:val="28"/>
    <w:link w:val="4"/>
    <w:qFormat/>
    <w:uiPriority w:val="1"/>
    <w:rPr>
      <w:rFonts w:ascii="Times New Roman" w:hAnsi="Times New Roman" w:eastAsia="微软雅黑"/>
      <w:b/>
      <w:color w:val="023985"/>
      <w:kern w:val="2"/>
      <w:sz w:val="24"/>
      <w:szCs w:val="22"/>
    </w:rPr>
  </w:style>
  <w:style w:type="character" w:customStyle="1" w:styleId="44">
    <w:name w:val="标题 4 字符"/>
    <w:basedOn w:val="28"/>
    <w:link w:val="5"/>
    <w:qFormat/>
    <w:uiPriority w:val="1"/>
    <w:rPr>
      <w:rFonts w:ascii="Times New Roman" w:hAnsi="Times New Roman" w:eastAsia="楷体" w:cstheme="majorBidi"/>
      <w:b/>
      <w:bCs/>
      <w:color w:val="023985"/>
      <w:kern w:val="2"/>
      <w:sz w:val="24"/>
      <w:szCs w:val="28"/>
    </w:rPr>
  </w:style>
  <w:style w:type="character" w:customStyle="1" w:styleId="45">
    <w:name w:val="标题 字符"/>
    <w:basedOn w:val="28"/>
    <w:link w:val="23"/>
    <w:qFormat/>
    <w:uiPriority w:val="2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6">
    <w:name w:val="标题 5 字符"/>
    <w:basedOn w:val="28"/>
    <w:link w:val="6"/>
    <w:qFormat/>
    <w:uiPriority w:val="1"/>
    <w:rPr>
      <w:rFonts w:ascii="Times New Roman" w:hAnsi="Times New Roman" w:eastAsia="楷体"/>
      <w:b/>
      <w:bCs/>
      <w:color w:val="023985"/>
      <w:kern w:val="2"/>
      <w:sz w:val="24"/>
      <w:szCs w:val="28"/>
    </w:rPr>
  </w:style>
  <w:style w:type="character" w:customStyle="1" w:styleId="47">
    <w:name w:val="标题 6 字符"/>
    <w:basedOn w:val="28"/>
    <w:link w:val="7"/>
    <w:qFormat/>
    <w:uiPriority w:val="1"/>
    <w:rPr>
      <w:rFonts w:ascii="Times New Roman" w:hAnsi="Times New Roman" w:eastAsia="楷体" w:cstheme="majorBidi"/>
      <w:b/>
      <w:bCs/>
      <w:color w:val="023985"/>
      <w:kern w:val="2"/>
      <w:sz w:val="24"/>
      <w:szCs w:val="24"/>
    </w:rPr>
  </w:style>
  <w:style w:type="character" w:customStyle="1" w:styleId="48">
    <w:name w:val="不明显强调1"/>
    <w:basedOn w:val="28"/>
    <w:qFormat/>
    <w:uiPriority w:val="19"/>
    <w:rPr>
      <w:rFonts w:eastAsia="楷体"/>
      <w:i/>
      <w:iCs/>
      <w:color w:val="7F7F7F"/>
      <w:sz w:val="18"/>
    </w:rPr>
  </w:style>
  <w:style w:type="character" w:customStyle="1" w:styleId="49">
    <w:name w:val="未处理的提及1"/>
    <w:basedOn w:val="2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0">
    <w:name w:val="批注主题 字符"/>
    <w:basedOn w:val="38"/>
    <w:link w:val="24"/>
    <w:qFormat/>
    <w:uiPriority w:val="2"/>
    <w:rPr>
      <w:rFonts w:ascii="Times New Roman" w:hAnsi="Times New Roman" w:eastAsia="楷体"/>
      <w:b/>
      <w:bCs/>
      <w:kern w:val="2"/>
      <w:sz w:val="24"/>
      <w:szCs w:val="22"/>
    </w:rPr>
  </w:style>
  <w:style w:type="character" w:customStyle="1" w:styleId="51">
    <w:name w:val="标题 1 字符"/>
    <w:basedOn w:val="28"/>
    <w:link w:val="2"/>
    <w:qFormat/>
    <w:uiPriority w:val="1"/>
    <w:rPr>
      <w:rFonts w:ascii="Times New Roman" w:hAnsi="Times New Roman" w:eastAsia="微软雅黑"/>
      <w:b/>
      <w:color w:val="023985"/>
      <w:kern w:val="44"/>
      <w:sz w:val="52"/>
      <w:szCs w:val="22"/>
    </w:rPr>
  </w:style>
  <w:style w:type="character" w:customStyle="1" w:styleId="52">
    <w:name w:val="标题 2 字符"/>
    <w:basedOn w:val="28"/>
    <w:link w:val="3"/>
    <w:qFormat/>
    <w:uiPriority w:val="1"/>
    <w:rPr>
      <w:rFonts w:ascii="Times New Roman" w:hAnsi="Times New Roman" w:eastAsia="微软雅黑"/>
      <w:b/>
      <w:color w:val="023985"/>
      <w:kern w:val="2"/>
      <w:sz w:val="28"/>
      <w:szCs w:val="22"/>
    </w:rPr>
  </w:style>
  <w:style w:type="paragraph" w:customStyle="1" w:styleId="53">
    <w:name w:val="TOC 标题2"/>
    <w:basedOn w:val="2"/>
    <w:next w:val="1"/>
    <w:semiHidden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character" w:customStyle="1" w:styleId="54">
    <w:name w:val="未处理的提及11"/>
    <w:basedOn w:val="2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5">
    <w:name w:val="TOC 标题3"/>
    <w:basedOn w:val="2"/>
    <w:next w:val="1"/>
    <w:semiHidden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character" w:customStyle="1" w:styleId="56">
    <w:name w:val="未处理的提及2"/>
    <w:basedOn w:val="2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7">
    <w:name w:val="TOC 标题4"/>
    <w:basedOn w:val="2"/>
    <w:next w:val="1"/>
    <w:semiHidden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styleId="58">
    <w:name w:val="No Spacing"/>
    <w:link w:val="59"/>
    <w:qFormat/>
    <w:uiPriority w:val="1"/>
    <w:pPr>
      <w:spacing w:line="300" w:lineRule="auto"/>
      <w:jc w:val="center"/>
    </w:pPr>
    <w:rPr>
      <w:rFonts w:ascii="Times New Roman" w:hAnsi="Times New Roman" w:eastAsia="楷体" w:cstheme="minorBidi"/>
      <w:sz w:val="24"/>
      <w:szCs w:val="22"/>
      <w:lang w:val="en-US" w:eastAsia="zh-CN" w:bidi="ar-SA"/>
    </w:rPr>
  </w:style>
  <w:style w:type="character" w:customStyle="1" w:styleId="59">
    <w:name w:val="无间隔 字符"/>
    <w:basedOn w:val="28"/>
    <w:link w:val="58"/>
    <w:qFormat/>
    <w:uiPriority w:val="1"/>
    <w:rPr>
      <w:rFonts w:ascii="Times New Roman" w:hAnsi="Times New Roman" w:eastAsia="楷体"/>
      <w:sz w:val="24"/>
      <w:szCs w:val="22"/>
    </w:rPr>
  </w:style>
  <w:style w:type="character" w:customStyle="1" w:styleId="60">
    <w:name w:val="Subtle Emphasis"/>
    <w:basedOn w:val="28"/>
    <w:qFormat/>
    <w:uiPriority w:val="19"/>
    <w:rPr>
      <w:rFonts w:eastAsia="楷体"/>
      <w:i/>
      <w:iCs/>
      <w:color w:val="7F7F7F"/>
      <w:sz w:val="18"/>
    </w:rPr>
  </w:style>
  <w:style w:type="paragraph" w:customStyle="1" w:styleId="61">
    <w:name w:val="TOC Heading"/>
    <w:basedOn w:val="2"/>
    <w:next w:val="1"/>
    <w:semiHidden/>
    <w:unhideWhenUsed/>
    <w:qFormat/>
    <w:uiPriority w:val="39"/>
    <w:pPr>
      <w:spacing w:before="340" w:after="330" w:line="578" w:lineRule="auto"/>
      <w:ind w:firstLine="200" w:firstLineChars="200"/>
      <w:outlineLvl w:val="9"/>
    </w:pPr>
    <w:rPr>
      <w:rFonts w:eastAsia="楷体"/>
      <w:bCs/>
      <w:color w:val="auto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4" Type="http://schemas.openxmlformats.org/officeDocument/2006/relationships/chart" Target="charts/chart4.xml"/><Relationship Id="rId23" Type="http://schemas.openxmlformats.org/officeDocument/2006/relationships/chart" Target="charts/chart3.xml"/><Relationship Id="rId22" Type="http://schemas.openxmlformats.org/officeDocument/2006/relationships/chart" Target="charts/chart2.xml"/><Relationship Id="rId21" Type="http://schemas.openxmlformats.org/officeDocument/2006/relationships/chart" Target="charts/chart1.xml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5" Type="http://schemas.microsoft.com/office/2011/relationships/chartColorStyle" Target="colors1.xml"/><Relationship Id="rId4" Type="http://schemas.microsoft.com/office/2011/relationships/chartStyle" Target="style1.xml"/><Relationship Id="rId3" Type="http://schemas.openxmlformats.org/officeDocument/2006/relationships/image" Target="../media/image9.jpeg"/><Relationship Id="rId2" Type="http://schemas.openxmlformats.org/officeDocument/2006/relationships/chartUserShapes" Target="../drawings/drawing1.xml"/><Relationship Id="rId1" Type="http://schemas.openxmlformats.org/officeDocument/2006/relationships/oleObject" Target="file:///\\192.168.208.159\&#20892;&#20135;&#21697;\&#27688;&#22522;&#37240;&#30456;&#20851;\&#27688;&#22522;&#37240;&#28023;&#20851;&#25968;&#25454;&#36208;&#21183;&#22270;.xlsx" TargetMode="External"/></Relationships>
</file>

<file path=word/charts/_rels/chart2.xml.rels><?xml version="1.0" encoding="UTF-8" standalone="yes"?>
<Relationships xmlns="http://schemas.openxmlformats.org/package/2006/relationships"><Relationship Id="rId5" Type="http://schemas.microsoft.com/office/2011/relationships/chartColorStyle" Target="colors2.xml"/><Relationship Id="rId4" Type="http://schemas.microsoft.com/office/2011/relationships/chartStyle" Target="style2.xml"/><Relationship Id="rId3" Type="http://schemas.openxmlformats.org/officeDocument/2006/relationships/image" Target="../media/image9.jpeg"/><Relationship Id="rId2" Type="http://schemas.openxmlformats.org/officeDocument/2006/relationships/chartUserShapes" Target="../drawings/drawing2.xml"/><Relationship Id="rId1" Type="http://schemas.openxmlformats.org/officeDocument/2006/relationships/oleObject" Target="file:///\\192.168.208.159\&#20892;&#20135;&#21697;\&#27688;&#22522;&#37240;&#30456;&#20851;\&#27688;&#22522;&#37240;&#28023;&#20851;&#25968;&#25454;&#36208;&#21183;&#22270;.xlsx" TargetMode="External"/></Relationships>
</file>

<file path=word/charts/_rels/chart3.xml.rels><?xml version="1.0" encoding="UTF-8" standalone="yes"?>
<Relationships xmlns="http://schemas.openxmlformats.org/package/2006/relationships"><Relationship Id="rId4" Type="http://schemas.microsoft.com/office/2011/relationships/chartColorStyle" Target="colors4.xml"/><Relationship Id="rId3" Type="http://schemas.microsoft.com/office/2011/relationships/chartStyle" Target="style4.xml"/><Relationship Id="rId2" Type="http://schemas.openxmlformats.org/officeDocument/2006/relationships/image" Target="../media/image9.jpeg"/><Relationship Id="rId1" Type="http://schemas.openxmlformats.org/officeDocument/2006/relationships/oleObject" Target="file:///\\192.168.208.159\&#20892;&#20135;&#21697;\&#27688;&#22522;&#37240;&#30456;&#20851;\&#27688;&#22522;&#37240;&#28023;&#20851;&#25968;&#25454;&#36208;&#21183;&#22270;.xlsx" TargetMode="External"/></Relationships>
</file>

<file path=word/charts/_rels/chart4.xml.rels><?xml version="1.0" encoding="UTF-8" standalone="yes"?>
<Relationships xmlns="http://schemas.openxmlformats.org/package/2006/relationships"><Relationship Id="rId4" Type="http://schemas.microsoft.com/office/2011/relationships/chartColorStyle" Target="colors3.xml"/><Relationship Id="rId3" Type="http://schemas.microsoft.com/office/2011/relationships/chartStyle" Target="style3.xml"/><Relationship Id="rId2" Type="http://schemas.openxmlformats.org/officeDocument/2006/relationships/image" Target="../media/image9.jpeg"/><Relationship Id="rId1" Type="http://schemas.openxmlformats.org/officeDocument/2006/relationships/oleObject" Target="file:///\\192.168.208.159\&#20892;&#20135;&#21697;\&#27688;&#22522;&#37240;&#30456;&#20851;\&#27688;&#22522;&#37240;&#28023;&#20851;&#25968;&#25454;&#36208;&#21183;&#2227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  <a:r>
              <a:rPr sz="1100" b="1">
                <a:solidFill>
                  <a:srgbClr val="023985"/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rPr>
              <a:t>中国赖氨酸盐及酯出口量月度对比走势图（吨）</a:t>
            </a:r>
            <a:endParaRPr sz="1100" b="1">
              <a:solidFill>
                <a:srgbClr val="023985"/>
              </a:solidFill>
              <a:latin typeface="楷体" panose="02010609060101010101" pitchFamily="3" charset="-122"/>
              <a:ea typeface="楷体" panose="02010609060101010101" pitchFamily="3" charset="-122"/>
              <a:cs typeface="楷体" panose="02010609060101010101" pitchFamily="3" charset="-122"/>
              <a:sym typeface="楷体" panose="02010609060101010101" pitchFamily="3" charset="-122"/>
            </a:endParaRPr>
          </a:p>
        </c:rich>
      </c:tx>
      <c:layout>
        <c:manualLayout>
          <c:xMode val="edge"/>
          <c:yMode val="edge"/>
          <c:x val="0.0113358674993212"/>
          <c:y val="0.00687285223367698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703684348053305"/>
          <c:y val="0.141124586549063"/>
          <c:w val="0.900888424353279"/>
          <c:h val="0.6527894156560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[氨基酸海关数据走势图.xlsx]Sheet2!$K$1</c:f>
              <c:strCache>
                <c:ptCount val="1"/>
                <c:pt idx="0">
                  <c:v>2020年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[氨基酸海关数据走势图.xlsx]Sheet2!$H$2:$H$13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[氨基酸海关数据走势图.xlsx]Sheet2!$K$2:$K$13</c:f>
              <c:numCache>
                <c:formatCode>General</c:formatCode>
                <c:ptCount val="12"/>
                <c:pt idx="0">
                  <c:v>53655.478</c:v>
                </c:pt>
                <c:pt idx="1">
                  <c:v>53655.478</c:v>
                </c:pt>
                <c:pt idx="2">
                  <c:v>92240.631</c:v>
                </c:pt>
                <c:pt idx="3">
                  <c:v>82807.845</c:v>
                </c:pt>
                <c:pt idx="4">
                  <c:v>69455.455</c:v>
                </c:pt>
                <c:pt idx="5">
                  <c:v>61569.182</c:v>
                </c:pt>
                <c:pt idx="6">
                  <c:v>56734.593</c:v>
                </c:pt>
                <c:pt idx="7">
                  <c:v>52938.841</c:v>
                </c:pt>
                <c:pt idx="8">
                  <c:v>64436.346</c:v>
                </c:pt>
                <c:pt idx="9">
                  <c:v>68276.308</c:v>
                </c:pt>
                <c:pt idx="10">
                  <c:v>66133.548</c:v>
                </c:pt>
                <c:pt idx="11">
                  <c:v>64321.957</c:v>
                </c:pt>
              </c:numCache>
            </c:numRef>
          </c:val>
        </c:ser>
        <c:ser>
          <c:idx val="1"/>
          <c:order val="1"/>
          <c:tx>
            <c:strRef>
              <c:f>[氨基酸海关数据走势图.xlsx]Sheet2!$L$1</c:f>
              <c:strCache>
                <c:ptCount val="1"/>
                <c:pt idx="0">
                  <c:v>2021年</c:v>
                </c:pt>
              </c:strCache>
            </c:strRef>
          </c:tx>
          <c:spPr>
            <a:solidFill>
              <a:srgbClr val="02398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[氨基酸海关数据走势图.xlsx]Sheet2!$H$2:$H$13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[氨基酸海关数据走势图.xlsx]Sheet2!$L$2:$L$13</c:f>
              <c:numCache>
                <c:formatCode>General</c:formatCode>
                <c:ptCount val="12"/>
                <c:pt idx="0">
                  <c:v>67280.335</c:v>
                </c:pt>
                <c:pt idx="1">
                  <c:v>56447.591</c:v>
                </c:pt>
                <c:pt idx="2">
                  <c:v>86582.598</c:v>
                </c:pt>
                <c:pt idx="3">
                  <c:v>58462</c:v>
                </c:pt>
                <c:pt idx="4">
                  <c:v>46760</c:v>
                </c:pt>
                <c:pt idx="5">
                  <c:v>53857</c:v>
                </c:pt>
                <c:pt idx="6">
                  <c:v>56313</c:v>
                </c:pt>
                <c:pt idx="7">
                  <c:v>64736</c:v>
                </c:pt>
                <c:pt idx="8">
                  <c:v>78520.736</c:v>
                </c:pt>
                <c:pt idx="9">
                  <c:v>77254.255</c:v>
                </c:pt>
                <c:pt idx="10">
                  <c:v>80151.654</c:v>
                </c:pt>
                <c:pt idx="11">
                  <c:v>99601</c:v>
                </c:pt>
              </c:numCache>
            </c:numRef>
          </c:val>
        </c:ser>
        <c:ser>
          <c:idx val="2"/>
          <c:order val="2"/>
          <c:tx>
            <c:strRef>
              <c:f>[氨基酸海关数据走势图.xlsx]Sheet2!$M$1</c:f>
              <c:strCache>
                <c:ptCount val="1"/>
                <c:pt idx="0">
                  <c:v>2022年</c:v>
                </c:pt>
              </c:strCache>
            </c:strRef>
          </c:tx>
          <c:spPr>
            <a:solidFill>
              <a:srgbClr val="BC000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[氨基酸海关数据走势图.xlsx]Sheet2!$H$2:$H$13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[氨基酸海关数据走势图.xlsx]Sheet2!$M$2:$M$13</c:f>
              <c:numCache>
                <c:formatCode>General</c:formatCode>
                <c:ptCount val="12"/>
                <c:pt idx="0">
                  <c:v>77522.822</c:v>
                </c:pt>
                <c:pt idx="1">
                  <c:v>85380.02</c:v>
                </c:pt>
                <c:pt idx="2" c:formatCode="#,##0.00">
                  <c:v>100138.303</c:v>
                </c:pt>
                <c:pt idx="3">
                  <c:v>94101</c:v>
                </c:pt>
                <c:pt idx="4">
                  <c:v>99858.912</c:v>
                </c:pt>
                <c:pt idx="5">
                  <c:v>70064.438</c:v>
                </c:pt>
                <c:pt idx="6">
                  <c:v>70304.224</c:v>
                </c:pt>
                <c:pt idx="7">
                  <c:v>71907</c:v>
                </c:pt>
                <c:pt idx="8">
                  <c:v>64254.374</c:v>
                </c:pt>
                <c:pt idx="9">
                  <c:v>73947</c:v>
                </c:pt>
                <c:pt idx="10">
                  <c:v>57733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279128057"/>
        <c:axId val="282036838"/>
      </c:barChart>
      <c:catAx>
        <c:axId val="279128057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  <c:crossAx val="282036838"/>
        <c:crosses val="autoZero"/>
        <c:auto val="1"/>
        <c:lblAlgn val="ctr"/>
        <c:lblOffset val="100"/>
        <c:noMultiLvlLbl val="0"/>
      </c:catAx>
      <c:valAx>
        <c:axId val="28203683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BFBFBF"/>
            </a:solidFill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79128057"/>
        <c:crosses val="autoZero"/>
        <c:crossBetween val="between"/>
      </c:valAx>
      <c:spPr>
        <a:blipFill rotWithShape="1">
          <a:blip xmlns:r="http://schemas.openxmlformats.org/officeDocument/2006/relationships" r:embed="rId3">
            <a:alphaModFix amt="4000"/>
          </a:blip>
          <a:stretch>
            <a:fillRect l="35000" t="30000" r="35000" b="30000"/>
          </a:stretch>
        </a:blipFill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</c:legendEntry>
      <c:layout>
        <c:manualLayout>
          <c:xMode val="edge"/>
          <c:yMode val="edge"/>
          <c:x val="0.338989953841977"/>
          <c:y val="0.123711340206186"/>
          <c:w val="0.407683953298941"/>
          <c:h val="0.0797250859106529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楷体" panose="02010609060101010101" pitchFamily="3" charset="-122"/>
              <a:ea typeface="楷体" panose="02010609060101010101" pitchFamily="3" charset="-122"/>
              <a:cs typeface="楷体" panose="02010609060101010101" pitchFamily="3" charset="-122"/>
              <a:sym typeface="楷体" panose="02010609060101010101" pitchFamily="3" charset="-122"/>
            </a:defRPr>
          </a:pPr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 sz="1100">
          <a:latin typeface="楷体" panose="02010609060101010101" pitchFamily="3" charset="-122"/>
          <a:ea typeface="楷体" panose="02010609060101010101" pitchFamily="3" charset="-122"/>
          <a:cs typeface="楷体" panose="02010609060101010101" pitchFamily="3" charset="-122"/>
          <a:sym typeface="楷体" panose="02010609060101010101" pitchFamily="3" charset="-122"/>
        </a:defRPr>
      </a:pPr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100" b="1">
                <a:solidFill>
                  <a:srgbClr val="023985"/>
                </a:solidFill>
                <a:latin typeface="楷体" panose="02010609060101010101" pitchFamily="3" charset="-122"/>
                <a:ea typeface="楷体" panose="02010609060101010101" pitchFamily="3" charset="-122"/>
              </a:rPr>
              <a:t>中国蛋氨酸进口量月度对比走势图（吨）</a:t>
            </a:r>
            <a:endParaRPr sz="1200">
              <a:latin typeface="微软雅黑" panose="020B0503020204020204" pitchFamily="2" charset="-122"/>
              <a:ea typeface="微软雅黑" panose="020B0503020204020204" pitchFamily="2" charset="-122"/>
            </a:endParaRPr>
          </a:p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sz="1200">
              <a:latin typeface="微软雅黑" panose="020B0503020204020204" pitchFamily="2" charset="-122"/>
              <a:ea typeface="微软雅黑" panose="020B0503020204020204" pitchFamily="2" charset="-122"/>
            </a:endParaRPr>
          </a:p>
        </c:rich>
      </c:tx>
      <c:layout>
        <c:manualLayout>
          <c:xMode val="edge"/>
          <c:yMode val="edge"/>
          <c:x val="0.00407331975560081"/>
          <c:y val="0.0069444444444444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903733876442634"/>
          <c:y val="0.144596808771285"/>
          <c:w val="0.900888424353279"/>
          <c:h val="0.6527894156560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[氨基酸海关数据走势图.xlsx]Sheet2!$R$1</c:f>
              <c:strCache>
                <c:ptCount val="1"/>
                <c:pt idx="0">
                  <c:v>2020年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[氨基酸海关数据走势图.xlsx]Sheet2!$O$2:$O$13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[氨基酸海关数据走势图.xlsx]Sheet2!$R$2:$R$13</c:f>
              <c:numCache>
                <c:formatCode>General</c:formatCode>
                <c:ptCount val="12"/>
                <c:pt idx="0">
                  <c:v>16348.074</c:v>
                </c:pt>
                <c:pt idx="1">
                  <c:v>16348.074</c:v>
                </c:pt>
                <c:pt idx="2">
                  <c:v>23060.778</c:v>
                </c:pt>
                <c:pt idx="3">
                  <c:v>12042.318</c:v>
                </c:pt>
                <c:pt idx="4">
                  <c:v>16643.528</c:v>
                </c:pt>
                <c:pt idx="5">
                  <c:v>16336.721</c:v>
                </c:pt>
                <c:pt idx="6">
                  <c:v>11587.83</c:v>
                </c:pt>
                <c:pt idx="7">
                  <c:v>13871.364</c:v>
                </c:pt>
                <c:pt idx="8">
                  <c:v>22752.09</c:v>
                </c:pt>
                <c:pt idx="9">
                  <c:v>19835.743</c:v>
                </c:pt>
                <c:pt idx="10">
                  <c:v>15227.024</c:v>
                </c:pt>
                <c:pt idx="11">
                  <c:v>22691.006</c:v>
                </c:pt>
              </c:numCache>
            </c:numRef>
          </c:val>
        </c:ser>
        <c:ser>
          <c:idx val="1"/>
          <c:order val="1"/>
          <c:tx>
            <c:strRef>
              <c:f>[氨基酸海关数据走势图.xlsx]Sheet2!$S$1</c:f>
              <c:strCache>
                <c:ptCount val="1"/>
                <c:pt idx="0">
                  <c:v>2021年</c:v>
                </c:pt>
              </c:strCache>
            </c:strRef>
          </c:tx>
          <c:spPr>
            <a:solidFill>
              <a:srgbClr val="02398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[氨基酸海关数据走势图.xlsx]Sheet2!$O$2:$O$13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[氨基酸海关数据走势图.xlsx]Sheet2!$S$2:$S$13</c:f>
              <c:numCache>
                <c:formatCode>General</c:formatCode>
                <c:ptCount val="12"/>
                <c:pt idx="0">
                  <c:v>20165</c:v>
                </c:pt>
                <c:pt idx="1">
                  <c:v>13574</c:v>
                </c:pt>
                <c:pt idx="2">
                  <c:v>20756</c:v>
                </c:pt>
                <c:pt idx="3">
                  <c:v>14958</c:v>
                </c:pt>
                <c:pt idx="4">
                  <c:v>16353</c:v>
                </c:pt>
                <c:pt idx="5">
                  <c:v>15087</c:v>
                </c:pt>
                <c:pt idx="6">
                  <c:v>14028</c:v>
                </c:pt>
                <c:pt idx="7">
                  <c:v>11962</c:v>
                </c:pt>
                <c:pt idx="8">
                  <c:v>21700</c:v>
                </c:pt>
                <c:pt idx="9">
                  <c:v>19234</c:v>
                </c:pt>
                <c:pt idx="10">
                  <c:v>14738</c:v>
                </c:pt>
                <c:pt idx="11">
                  <c:v>21885</c:v>
                </c:pt>
              </c:numCache>
            </c:numRef>
          </c:val>
        </c:ser>
        <c:ser>
          <c:idx val="2"/>
          <c:order val="2"/>
          <c:tx>
            <c:strRef>
              <c:f>[氨基酸海关数据走势图.xlsx]Sheet2!$T$1</c:f>
              <c:strCache>
                <c:ptCount val="1"/>
                <c:pt idx="0">
                  <c:v>2022年</c:v>
                </c:pt>
              </c:strCache>
            </c:strRef>
          </c:tx>
          <c:spPr>
            <a:solidFill>
              <a:srgbClr val="BC000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[氨基酸海关数据走势图.xlsx]Sheet2!$O$2:$O$13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[氨基酸海关数据走势图.xlsx]Sheet2!$T$2:$T$13</c:f>
              <c:numCache>
                <c:formatCode>General</c:formatCode>
                <c:ptCount val="12"/>
                <c:pt idx="0">
                  <c:v>16650.659</c:v>
                </c:pt>
                <c:pt idx="1">
                  <c:v>11580.064</c:v>
                </c:pt>
                <c:pt idx="2" c:formatCode="#,##0.00">
                  <c:v>8976.572</c:v>
                </c:pt>
                <c:pt idx="3">
                  <c:v>16835</c:v>
                </c:pt>
                <c:pt idx="4">
                  <c:v>14393.601</c:v>
                </c:pt>
                <c:pt idx="5">
                  <c:v>12858.604</c:v>
                </c:pt>
                <c:pt idx="6">
                  <c:v>9287.12</c:v>
                </c:pt>
                <c:pt idx="7">
                  <c:v>18305</c:v>
                </c:pt>
                <c:pt idx="8">
                  <c:v>15216.322</c:v>
                </c:pt>
                <c:pt idx="9">
                  <c:v>16410</c:v>
                </c:pt>
                <c:pt idx="10">
                  <c:v>23551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238512190"/>
        <c:axId val="229618427"/>
      </c:barChart>
      <c:catAx>
        <c:axId val="23851219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  <c:crossAx val="229618427"/>
        <c:crosses val="autoZero"/>
        <c:auto val="1"/>
        <c:lblAlgn val="ctr"/>
        <c:lblOffset val="100"/>
        <c:noMultiLvlLbl val="0"/>
      </c:catAx>
      <c:valAx>
        <c:axId val="229618427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cmpd="sng">
            <a:solidFill>
              <a:srgbClr val="BFBFBF"/>
            </a:solidFill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3851219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4935505770536"/>
          <c:y val="0.0821759259259259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zero"/>
    <c:showDLblsOverMax val="0"/>
  </c:chart>
  <c:spPr>
    <a:blipFill rotWithShape="1">
      <a:blip xmlns:r="http://schemas.openxmlformats.org/officeDocument/2006/relationships" r:embed="rId3">
        <a:alphaModFix amt="4000"/>
      </a:blip>
      <a:stretch>
        <a:fillRect l="35000" t="30000" r="35000" b="30000"/>
      </a:stretch>
    </a:blipFill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100" b="1">
                <a:solidFill>
                  <a:srgbClr val="023985"/>
                </a:solidFill>
                <a:latin typeface="楷体" panose="02010609060101010101" pitchFamily="3" charset="-122"/>
                <a:ea typeface="楷体" panose="02010609060101010101" pitchFamily="3" charset="-122"/>
              </a:rPr>
              <a:t>中国蛋氨酸出口量月度对比走势图（吨）</a:t>
            </a:r>
            <a:endParaRPr sz="1200">
              <a:latin typeface="微软雅黑" panose="020B0503020204020204" pitchFamily="2" charset="-122"/>
              <a:ea typeface="微软雅黑" panose="020B0503020204020204" pitchFamily="2" charset="-122"/>
            </a:endParaRPr>
          </a:p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sz="1200">
              <a:latin typeface="微软雅黑" panose="020B0503020204020204" pitchFamily="2" charset="-122"/>
              <a:ea typeface="微软雅黑" panose="020B0503020204020204" pitchFamily="2" charset="-122"/>
            </a:endParaRPr>
          </a:p>
        </c:rich>
      </c:tx>
      <c:layout>
        <c:manualLayout>
          <c:xMode val="edge"/>
          <c:yMode val="edge"/>
          <c:x val="0.00407331975560081"/>
          <c:y val="0.0069444444444444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903733876442634"/>
          <c:y val="0.144596808771285"/>
          <c:w val="0.900888424353279"/>
          <c:h val="0.6527894156560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[氨基酸海关数据走势图.xlsx]Sheet2!$Y$1</c:f>
              <c:strCache>
                <c:ptCount val="1"/>
                <c:pt idx="0">
                  <c:v>2020年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[氨基酸海关数据走势图.xlsx]Sheet2!$O$2:$O$13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[氨基酸海关数据走势图.xlsx]Sheet2!$Y$2:$Y$13</c:f>
              <c:numCache>
                <c:formatCode>General</c:formatCode>
                <c:ptCount val="12"/>
                <c:pt idx="0">
                  <c:v>2284.355</c:v>
                </c:pt>
                <c:pt idx="1">
                  <c:v>2284.355</c:v>
                </c:pt>
                <c:pt idx="2">
                  <c:v>2570.623</c:v>
                </c:pt>
                <c:pt idx="3">
                  <c:v>2248.896</c:v>
                </c:pt>
                <c:pt idx="4">
                  <c:v>938.935</c:v>
                </c:pt>
                <c:pt idx="5">
                  <c:v>3152.303</c:v>
                </c:pt>
                <c:pt idx="6">
                  <c:v>5096.416</c:v>
                </c:pt>
                <c:pt idx="7">
                  <c:v>4585.163</c:v>
                </c:pt>
                <c:pt idx="8">
                  <c:v>7468.32</c:v>
                </c:pt>
                <c:pt idx="9">
                  <c:v>5885.03</c:v>
                </c:pt>
                <c:pt idx="10">
                  <c:v>7274.9</c:v>
                </c:pt>
                <c:pt idx="11">
                  <c:v>5805.711</c:v>
                </c:pt>
              </c:numCache>
            </c:numRef>
          </c:val>
        </c:ser>
        <c:ser>
          <c:idx val="1"/>
          <c:order val="1"/>
          <c:tx>
            <c:strRef>
              <c:f>[氨基酸海关数据走势图.xlsx]Sheet2!$Z$1</c:f>
              <c:strCache>
                <c:ptCount val="1"/>
                <c:pt idx="0">
                  <c:v>2021年</c:v>
                </c:pt>
              </c:strCache>
            </c:strRef>
          </c:tx>
          <c:spPr>
            <a:solidFill>
              <a:srgbClr val="02398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[氨基酸海关数据走势图.xlsx]Sheet2!$O$2:$O$13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[氨基酸海关数据走势图.xlsx]Sheet2!$Z$2:$Z$13</c:f>
              <c:numCache>
                <c:formatCode>General</c:formatCode>
                <c:ptCount val="12"/>
                <c:pt idx="0">
                  <c:v>8176.062</c:v>
                </c:pt>
                <c:pt idx="1">
                  <c:v>3573.867</c:v>
                </c:pt>
                <c:pt idx="2">
                  <c:v>6664.093</c:v>
                </c:pt>
                <c:pt idx="3">
                  <c:v>7631.839</c:v>
                </c:pt>
                <c:pt idx="4">
                  <c:v>6329.52</c:v>
                </c:pt>
                <c:pt idx="5">
                  <c:v>3621</c:v>
                </c:pt>
                <c:pt idx="6">
                  <c:v>6422</c:v>
                </c:pt>
                <c:pt idx="7">
                  <c:v>10114</c:v>
                </c:pt>
                <c:pt idx="8">
                  <c:v>7841.824</c:v>
                </c:pt>
                <c:pt idx="9">
                  <c:v>6551.862</c:v>
                </c:pt>
                <c:pt idx="10">
                  <c:v>9535.885</c:v>
                </c:pt>
                <c:pt idx="11">
                  <c:v>12166.473</c:v>
                </c:pt>
              </c:numCache>
            </c:numRef>
          </c:val>
        </c:ser>
        <c:ser>
          <c:idx val="2"/>
          <c:order val="2"/>
          <c:tx>
            <c:strRef>
              <c:f>[氨基酸海关数据走势图.xlsx]Sheet2!$AA$1</c:f>
              <c:strCache>
                <c:ptCount val="1"/>
                <c:pt idx="0">
                  <c:v>2022年</c:v>
                </c:pt>
              </c:strCache>
            </c:strRef>
          </c:tx>
          <c:spPr>
            <a:solidFill>
              <a:srgbClr val="BC000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[氨基酸海关数据走势图.xlsx]Sheet2!$O$2:$O$13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[氨基酸海关数据走势图.xlsx]Sheet2!$AA$2:$AA$13</c:f>
              <c:numCache>
                <c:formatCode>General</c:formatCode>
                <c:ptCount val="12"/>
                <c:pt idx="0">
                  <c:v>17292.798</c:v>
                </c:pt>
                <c:pt idx="1">
                  <c:v>5376.793</c:v>
                </c:pt>
                <c:pt idx="2" c:formatCode="#,##0.00">
                  <c:v>11057.27</c:v>
                </c:pt>
                <c:pt idx="3">
                  <c:v>8875</c:v>
                </c:pt>
                <c:pt idx="4">
                  <c:v>12608.516</c:v>
                </c:pt>
                <c:pt idx="5">
                  <c:v>11187.015</c:v>
                </c:pt>
                <c:pt idx="6">
                  <c:v>13111.385</c:v>
                </c:pt>
                <c:pt idx="7">
                  <c:v>9525.57</c:v>
                </c:pt>
                <c:pt idx="8">
                  <c:v>4838.628</c:v>
                </c:pt>
                <c:pt idx="9">
                  <c:v>6786.6</c:v>
                </c:pt>
                <c:pt idx="10">
                  <c:v>8706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238512190"/>
        <c:axId val="229618427"/>
      </c:barChart>
      <c:catAx>
        <c:axId val="23851219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  <c:crossAx val="229618427"/>
        <c:crosses val="autoZero"/>
        <c:auto val="1"/>
        <c:lblAlgn val="ctr"/>
        <c:lblOffset val="100"/>
        <c:noMultiLvlLbl val="0"/>
      </c:catAx>
      <c:valAx>
        <c:axId val="229618427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cmpd="sng">
            <a:solidFill>
              <a:srgbClr val="BFBFBF"/>
            </a:solidFill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3851219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4935505770536"/>
          <c:y val="0.0821759259259259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zero"/>
    <c:showDLblsOverMax val="0"/>
  </c:chart>
  <c:spPr>
    <a:blipFill rotWithShape="1">
      <a:blip xmlns:r="http://schemas.openxmlformats.org/officeDocument/2006/relationships" r:embed="rId2">
        <a:alphaModFix amt="4000"/>
      </a:blip>
      <a:stretch>
        <a:fillRect l="35000" t="30000" r="35000" b="30000"/>
      </a:stretch>
    </a:blipFill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100" b="1">
                <a:solidFill>
                  <a:srgbClr val="023985"/>
                </a:solidFill>
                <a:latin typeface="楷体" panose="02010609060101010101" pitchFamily="3" charset="-122"/>
                <a:ea typeface="楷体" panose="02010609060101010101" pitchFamily="3" charset="-122"/>
              </a:rPr>
              <a:t>中国苏氨酸出口量月度对比走势图（吨）</a:t>
            </a:r>
            <a:endParaRPr sz="1100" b="1">
              <a:solidFill>
                <a:srgbClr val="023985"/>
              </a:solidFill>
              <a:latin typeface="楷体" panose="02010609060101010101" pitchFamily="3" charset="-122"/>
              <a:ea typeface="楷体" panose="02010609060101010101" pitchFamily="3" charset="-122"/>
            </a:endParaRPr>
          </a:p>
        </c:rich>
      </c:tx>
      <c:layout>
        <c:manualLayout>
          <c:xMode val="edge"/>
          <c:yMode val="edge"/>
          <c:x val="0.00779848171152519"/>
          <c:y val="0.013888888888888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924315044858523"/>
          <c:y val="0.137652364326841"/>
          <c:w val="0.900888424353279"/>
          <c:h val="0.6527894156560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[氨基酸海关数据走势图.xlsx]Sheet2!$D$1</c:f>
              <c:strCache>
                <c:ptCount val="1"/>
                <c:pt idx="0">
                  <c:v>2020年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[氨基酸海关数据走势图.xlsx]Sheet2!$A$2:$A$13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[氨基酸海关数据走势图.xlsx]Sheet2!$D$2:$D$13</c:f>
              <c:numCache>
                <c:formatCode>General</c:formatCode>
                <c:ptCount val="12"/>
                <c:pt idx="0">
                  <c:v>37854</c:v>
                </c:pt>
                <c:pt idx="1">
                  <c:v>44125</c:v>
                </c:pt>
                <c:pt idx="2">
                  <c:v>55632</c:v>
                </c:pt>
                <c:pt idx="3">
                  <c:v>57523</c:v>
                </c:pt>
                <c:pt idx="4">
                  <c:v>53345</c:v>
                </c:pt>
                <c:pt idx="5">
                  <c:v>48541</c:v>
                </c:pt>
                <c:pt idx="6">
                  <c:v>47235</c:v>
                </c:pt>
                <c:pt idx="7">
                  <c:v>40501</c:v>
                </c:pt>
                <c:pt idx="8">
                  <c:v>44302</c:v>
                </c:pt>
                <c:pt idx="9">
                  <c:v>47953</c:v>
                </c:pt>
                <c:pt idx="10">
                  <c:v>43325</c:v>
                </c:pt>
                <c:pt idx="11">
                  <c:v>38147</c:v>
                </c:pt>
              </c:numCache>
            </c:numRef>
          </c:val>
        </c:ser>
        <c:ser>
          <c:idx val="1"/>
          <c:order val="1"/>
          <c:tx>
            <c:strRef>
              <c:f>[氨基酸海关数据走势图.xlsx]Sheet2!$E$1</c:f>
              <c:strCache>
                <c:ptCount val="1"/>
                <c:pt idx="0">
                  <c:v>2021年</c:v>
                </c:pt>
              </c:strCache>
            </c:strRef>
          </c:tx>
          <c:spPr>
            <a:solidFill>
              <a:srgbClr val="02398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[氨基酸海关数据走势图.xlsx]Sheet2!$A$2:$A$13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[氨基酸海关数据走势图.xlsx]Sheet2!$E$2:$E$13</c:f>
              <c:numCache>
                <c:formatCode>General</c:formatCode>
                <c:ptCount val="12"/>
                <c:pt idx="0">
                  <c:v>44169</c:v>
                </c:pt>
                <c:pt idx="1">
                  <c:v>41012</c:v>
                </c:pt>
                <c:pt idx="2">
                  <c:v>59726</c:v>
                </c:pt>
                <c:pt idx="3">
                  <c:v>43832</c:v>
                </c:pt>
                <c:pt idx="4">
                  <c:v>49015</c:v>
                </c:pt>
                <c:pt idx="5">
                  <c:v>40554</c:v>
                </c:pt>
                <c:pt idx="6">
                  <c:v>35756</c:v>
                </c:pt>
                <c:pt idx="7">
                  <c:v>45754</c:v>
                </c:pt>
                <c:pt idx="8">
                  <c:v>45000</c:v>
                </c:pt>
                <c:pt idx="9">
                  <c:v>48757</c:v>
                </c:pt>
                <c:pt idx="10">
                  <c:v>58367</c:v>
                </c:pt>
                <c:pt idx="11">
                  <c:v>57293</c:v>
                </c:pt>
              </c:numCache>
            </c:numRef>
          </c:val>
        </c:ser>
        <c:ser>
          <c:idx val="2"/>
          <c:order val="2"/>
          <c:tx>
            <c:strRef>
              <c:f>[氨基酸海关数据走势图.xlsx]Sheet2!$F$1</c:f>
              <c:strCache>
                <c:ptCount val="1"/>
                <c:pt idx="0">
                  <c:v>2022年</c:v>
                </c:pt>
              </c:strCache>
            </c:strRef>
          </c:tx>
          <c:spPr>
            <a:solidFill>
              <a:srgbClr val="BC000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[氨基酸海关数据走势图.xlsx]Sheet2!$A$2:$A$13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[氨基酸海关数据走势图.xlsx]Sheet2!$F$2:$F$13</c:f>
              <c:numCache>
                <c:formatCode>General</c:formatCode>
                <c:ptCount val="12"/>
                <c:pt idx="0">
                  <c:v>52619.7</c:v>
                </c:pt>
                <c:pt idx="1">
                  <c:v>58590.7</c:v>
                </c:pt>
                <c:pt idx="2">
                  <c:v>58265</c:v>
                </c:pt>
                <c:pt idx="3">
                  <c:v>54626</c:v>
                </c:pt>
                <c:pt idx="4">
                  <c:v>51899.743</c:v>
                </c:pt>
                <c:pt idx="5">
                  <c:v>39265.289</c:v>
                </c:pt>
                <c:pt idx="6">
                  <c:v>42226.299</c:v>
                </c:pt>
                <c:pt idx="7">
                  <c:v>32748</c:v>
                </c:pt>
                <c:pt idx="8">
                  <c:v>36514.817</c:v>
                </c:pt>
                <c:pt idx="9">
                  <c:v>40015</c:v>
                </c:pt>
                <c:pt idx="10">
                  <c:v>37638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748718525"/>
        <c:axId val="844456332"/>
      </c:barChart>
      <c:catAx>
        <c:axId val="748718525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+mn-lt"/>
                <a:ea typeface="楷体" panose="02010609060101010101" pitchFamily="3" charset="-122"/>
                <a:cs typeface="+mn-cs"/>
              </a:defRPr>
            </a:pPr>
          </a:p>
        </c:txPr>
        <c:crossAx val="844456332"/>
        <c:crosses val="autoZero"/>
        <c:auto val="1"/>
        <c:lblAlgn val="ctr"/>
        <c:lblOffset val="100"/>
        <c:noMultiLvlLbl val="0"/>
      </c:catAx>
      <c:valAx>
        <c:axId val="844456332"/>
        <c:scaling>
          <c:orientation val="minMax"/>
          <c:min val="200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rgbClr val="BFBFBF"/>
            </a:solidFill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74871852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楷体" panose="02010609060101010101" pitchFamily="3" charset="-122"/>
                <a:ea typeface="楷体" panose="02010609060101010101" pitchFamily="3" charset="-122"/>
                <a:cs typeface="楷体" panose="02010609060101010101" pitchFamily="3" charset="-122"/>
                <a:sym typeface="楷体" panose="02010609060101010101" pitchFamily="3" charset="-122"/>
              </a:defRPr>
            </a:pPr>
          </a:p>
        </c:txPr>
      </c:legendEntry>
      <c:layout>
        <c:manualLayout>
          <c:xMode val="edge"/>
          <c:yMode val="edge"/>
          <c:x val="0.340855762594893"/>
          <c:y val="0.085648148148148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楷体" panose="02010609060101010101" pitchFamily="3" charset="-122"/>
              <a:ea typeface="楷体" panose="02010609060101010101" pitchFamily="3" charset="-122"/>
              <a:cs typeface="楷体" panose="02010609060101010101" pitchFamily="3" charset="-122"/>
              <a:sym typeface="楷体" panose="02010609060101010101" pitchFamily="3" charset="-122"/>
            </a:defRPr>
          </a:pPr>
        </a:p>
      </c:txPr>
    </c:legend>
    <c:plotVisOnly val="1"/>
    <c:dispBlanksAs val="zero"/>
    <c:showDLblsOverMax val="0"/>
  </c:chart>
  <c:spPr>
    <a:blipFill rotWithShape="1">
      <a:blip xmlns:r="http://schemas.openxmlformats.org/officeDocument/2006/relationships" r:embed="rId2">
        <a:alphaModFix amt="4000"/>
      </a:blip>
      <a:stretch>
        <a:fillRect l="35000" t="30000" r="35000" b="30000"/>
      </a:stretch>
    </a:blipFill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0.0152610729285987</cdr:y>
    </cdr:from>
    <cdr:to>
      <cdr:x>0.777083333333334</cdr:x>
      <cdr:y>0.112483295150821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0" y="42300"/>
          <a:ext cx="3634737" cy="269478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Overflow="clip" horzOverflow="clip" vert="horz" wrap="square" lIns="45720" tIns="45720" rIns="45720" bIns="45720" rtlCol="0" anchor="t" anchorCtr="0">
          <a:normAutofit/>
        </a:bodyPr>
        <a:p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0.00972222222222222</cdr:x>
      <cdr:y>0.0185185185185185</cdr:y>
    </cdr:from>
    <cdr:to>
      <cdr:x>0.195</cdr:x>
      <cdr:y>0.105324074074074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44450" y="50800"/>
          <a:ext cx="847090" cy="238125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Overflow="clip" horzOverflow="clip" vert="horz" wrap="square" lIns="45720" tIns="45720" rIns="45720" bIns="45720" rtlCol="0" anchor="t" anchorCtr="0">
          <a:normAutofit/>
        </a:bodyPr>
        <a:p>
          <a:endParaRPr lang="zh-CN" altLang="en-US" sz="900">
            <a:latin typeface="微软雅黑" panose="020B0503020204020204" pitchFamily="2" charset="-122"/>
            <a:ea typeface="微软雅黑" panose="020B0503020204020204" pitchFamily="2" charset="-122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4375</Words>
  <Characters>5282</Characters>
  <Lines>13</Lines>
  <Paragraphs>3</Paragraphs>
  <TotalTime>5</TotalTime>
  <ScaleCrop>false</ScaleCrop>
  <LinksUpToDate>false</LinksUpToDate>
  <CharactersWithSpaces>5436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2022-03-07T03:46:00Z</dcterms:created>
  <dcterms:modified xsi:type="dcterms:W3CDTF">2022-12-30T10:08:13Z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3DA95900A1484F20B367D9E929E3ECD9</vt:lpwstr>
  </property>
</Properties>
</file>