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eastAsia="方正大标宋简体"/>
          <w:sz w:val="42"/>
          <w:szCs w:val="42"/>
        </w:rPr>
      </w:pPr>
      <w:bookmarkStart w:id="0" w:name="_GoBack"/>
      <w:bookmarkEnd w:id="0"/>
      <w:r>
        <w:rPr>
          <w:rFonts w:hint="eastAsia" w:ascii="方正大标宋简体" w:eastAsia="方正大标宋简体"/>
          <w:sz w:val="42"/>
          <w:szCs w:val="42"/>
        </w:rPr>
        <w:t>附</w:t>
      </w:r>
      <w:r>
        <w:rPr>
          <w:rFonts w:hint="eastAsia" w:ascii="方正大标宋简体" w:hAnsi="Times New Roman" w:eastAsia="方正大标宋简体" w:cs="Times New Roman"/>
          <w:sz w:val="42"/>
          <w:szCs w:val="42"/>
        </w:rPr>
        <w:t>件3</w:t>
      </w:r>
    </w:p>
    <w:p>
      <w:pPr>
        <w:spacing w:line="360" w:lineRule="auto"/>
        <w:jc w:val="center"/>
        <w:rPr>
          <w:rFonts w:hint="eastAsia" w:ascii="方正大标宋简体" w:hAnsi="仿宋" w:eastAsia="方正大标宋简体" w:cs="Arial"/>
          <w:color w:val="000000" w:themeColor="text1"/>
          <w:kern w:val="36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仿宋" w:eastAsia="方正大标宋简体" w:cs="Arial"/>
          <w:color w:val="000000" w:themeColor="text1"/>
          <w:kern w:val="36"/>
          <w:sz w:val="42"/>
          <w:szCs w:val="42"/>
          <w14:textFill>
            <w14:solidFill>
              <w14:schemeClr w14:val="tx1"/>
            </w14:solidFill>
          </w14:textFill>
        </w:rPr>
        <w:t>《上海期货交易所铅期货合约》</w:t>
      </w:r>
    </w:p>
    <w:p>
      <w:pPr>
        <w:spacing w:line="360" w:lineRule="auto"/>
        <w:jc w:val="center"/>
        <w:rPr>
          <w:rFonts w:hint="eastAsia" w:ascii="方正大标宋简体" w:hAnsi="仿宋" w:eastAsia="方正大标宋简体" w:cs="Arial"/>
          <w:color w:val="000000" w:themeColor="text1"/>
          <w:kern w:val="36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仿宋" w:eastAsia="方正大标宋简体" w:cs="Arial"/>
          <w:color w:val="000000" w:themeColor="text1"/>
          <w:kern w:val="36"/>
          <w:sz w:val="42"/>
          <w:szCs w:val="42"/>
          <w14:textFill>
            <w14:solidFill>
              <w14:schemeClr w14:val="tx1"/>
            </w14:solidFill>
          </w14:textFill>
        </w:rPr>
        <w:t>（修订版）</w:t>
      </w:r>
    </w:p>
    <w:tbl>
      <w:tblPr>
        <w:tblStyle w:val="4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9"/>
        <w:gridCol w:w="6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交易品种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交易单位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5吨/手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报价单位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元（人民币）/吨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最小变动价位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5元/吨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涨跌停板幅度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上一交易日结算价±4%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合约月份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1～12月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交易时间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上午9:00</w:t>
            </w:r>
            <w:r>
              <w:rPr>
                <w:rFonts w:hint="eastAsia" w:ascii="方正仿宋简体" w:eastAsia="方正仿宋简体"/>
                <w:color w:val="212121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11:30 ，下午1:30</w:t>
            </w:r>
            <w:r>
              <w:rPr>
                <w:rFonts w:hint="eastAsia" w:ascii="方正仿宋简体" w:eastAsia="方正仿宋简体"/>
                <w:color w:val="212121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3:00和交易所规定的其他交易时间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最后交易日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合约月份的15日（遇国家法定节假日顺延，春节月份等最后交易日交易所可另行调整并通知）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交割日期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最后交易日后连续二个工作日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交割品级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标准品：铅锭，符合国标GB/T 469-2023 Pb99.994规定，或者符合国标GB/T469-2023 Pb99.996规定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交割地点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交易所指定交割仓库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最低交易保证金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合约价值的5%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交割方式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实物交割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交割单位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25吨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交易代码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PB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上市交易所</w:t>
            </w:r>
          </w:p>
        </w:tc>
        <w:tc>
          <w:tcPr>
            <w:tcW w:w="6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上海期货交易所</w:t>
            </w:r>
          </w:p>
        </w:tc>
      </w:tr>
    </w:tbl>
    <w:p>
      <w:pPr>
        <w:widowControl/>
        <w:spacing w:line="560" w:lineRule="exact"/>
        <w:jc w:val="center"/>
        <w:rPr>
          <w:rFonts w:ascii="方正大标宋简体" w:hAnsi="仿宋" w:eastAsia="方正大标宋简体" w:cs="Arial"/>
          <w:bCs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仿宋" w:eastAsia="方正大标宋简体" w:cs="Arial"/>
          <w:bCs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上海期货交易所铅期货合约附件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" w:cs="Times New Roman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一、交割单位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铅期货合约的交易单位为每手5吨，交割单位为每一仓单25吨，交割必须以每一个仓单的整数倍交割。</w:t>
      </w:r>
    </w:p>
    <w:p>
      <w:pPr>
        <w:widowControl/>
        <w:shd w:val="clear" w:color="auto" w:fill="FFFFFF"/>
        <w:spacing w:line="560" w:lineRule="exact"/>
        <w:ind w:firstLine="422"/>
        <w:jc w:val="left"/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二、质量规定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用于本合约实物交割的铅锭，必须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符合国标GB/T 469-2023 Pb99.994规定，或者符合国标GB/T469-2023 Pb99.996规定。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外型及块重。交割的铅应为锭，国产铅的每锭重量为48kg</w:t>
      </w: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±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3kg、42kg</w:t>
      </w: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±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2kg、24kg</w:t>
      </w: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±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1kg。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每一仓单的溢短不超过±2%，磅差不超过</w:t>
      </w:r>
      <w:r>
        <w:rPr>
          <w:rFonts w:hint="eastAsia" w:ascii="方正仿宋简体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±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0.1%。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每一交割单位的铅锭，必须是同一生产企业生产、同一牌号、同一注册商标、同一质量品级、同一块形、同一包装数量（捆重近似）的商品组成。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每一仓单的铅锭，必须是本所批准的注册品牌，须附有质量证明书。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方正仿宋简体" w:hAnsi="仿宋" w:eastAsia="方正仿宋简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仓单须由</w:t>
      </w:r>
      <w:r>
        <w:rPr>
          <w:rFonts w:hint="eastAsia" w:ascii="方正仿宋简体" w:hAnsi="仿宋" w:eastAsia="方正仿宋简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本所指定交割仓库按规定验收合格后出具。</w:t>
      </w:r>
    </w:p>
    <w:p>
      <w:pPr>
        <w:widowControl/>
        <w:shd w:val="clear" w:color="auto" w:fill="FFFFFF"/>
        <w:spacing w:line="560" w:lineRule="exact"/>
        <w:ind w:firstLine="422"/>
        <w:jc w:val="left"/>
        <w:rPr>
          <w:rFonts w:ascii="方正仿宋简体" w:hAnsi="仿宋" w:eastAsia="方正仿宋简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仿宋" w:eastAsia="方正仿宋简体" w:cs="Arial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三、交易所认可的生产企业和注册品牌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方正仿宋简体" w:hAnsi="仿宋" w:eastAsia="方正仿宋简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仿宋" w:eastAsia="方正仿宋简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用于实物交割的铅锭，必须是交易所注册的品牌。具体的注册品牌和升贴水标准，由交易所另行规定并公告。</w:t>
      </w:r>
    </w:p>
    <w:p>
      <w:pPr>
        <w:widowControl/>
        <w:shd w:val="clear" w:color="auto" w:fill="FFFFFF"/>
        <w:spacing w:line="560" w:lineRule="exact"/>
        <w:ind w:firstLine="422"/>
        <w:jc w:val="left"/>
        <w:rPr>
          <w:rFonts w:ascii="方正仿宋简体" w:hAnsi="仿宋" w:eastAsia="方正仿宋简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仿宋" w:eastAsia="方正仿宋简体" w:cs="Arial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四、指定交割仓库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方正仿宋简体" w:hAnsi="仿宋" w:eastAsia="方正仿宋简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仿宋" w:eastAsia="方正仿宋简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由交易所指定并另行公告，异地交割仓库升贴水标准由交易所规定并公告。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207016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5"/>
    <w:rsid w:val="0019000D"/>
    <w:rsid w:val="00417A15"/>
    <w:rsid w:val="00E34355"/>
    <w:rsid w:val="097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718</Characters>
  <Lines>5</Lines>
  <Paragraphs>1</Paragraphs>
  <TotalTime>1</TotalTime>
  <ScaleCrop>false</ScaleCrop>
  <LinksUpToDate>false</LinksUpToDate>
  <CharactersWithSpaces>842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2024-04-12T08:27:00Z</dcterms:created>
  <dc:creator>shfe</dc:creator>
  <cp:lastModifiedBy>沈一冰</cp:lastModifiedBy>
  <dcterms:modified xsi:type="dcterms:W3CDTF">2024-04-13T01:40:45Z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184394CB2F714D68B2B4AF0FACE8A3FC_13</vt:lpwstr>
  </property>
</Properties>
</file>