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6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《方案》（征求意见稿）意见汇总表</w:t>
      </w:r>
    </w:p>
    <w:tbl>
      <w:tblPr>
        <w:tblStyle w:val="5"/>
        <w:tblpPr w:leftFromText="180" w:rightFromText="180" w:vertAnchor="page" w:horzAnchor="page" w:tblpXSpec="center" w:tblpY="2934"/>
        <w:tblOverlap w:val="never"/>
        <w:tblW w:w="15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1971"/>
        <w:gridCol w:w="6169"/>
        <w:gridCol w:w="2475"/>
        <w:gridCol w:w="667"/>
        <w:gridCol w:w="3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楷体" w:hAnsi="楷体" w:eastAsia="楷体" w:cs="楷体"/>
                <w:sz w:val="21"/>
                <w:szCs w:val="24"/>
                <w:vertAlign w:val="baseline"/>
                <w:lang w:val="en-US" w:eastAsia="zh-CN"/>
              </w:rPr>
            </w:pPr>
            <w:r>
              <w:rPr>
                <w:rFonts w:hint="eastAsia" w:ascii="楷体" w:hAnsi="楷体" w:eastAsia="楷体" w:cs="楷体"/>
                <w:b/>
                <w:bCs/>
                <w:sz w:val="22"/>
                <w:szCs w:val="28"/>
                <w:vertAlign w:val="baseline"/>
                <w:lang w:val="en-US" w:eastAsia="zh-CN"/>
              </w:rPr>
              <w:t>序号</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楷体" w:hAnsi="楷体" w:eastAsia="楷体" w:cs="楷体"/>
                <w:sz w:val="21"/>
                <w:szCs w:val="24"/>
                <w:vertAlign w:val="baseline"/>
                <w:lang w:val="en-US" w:eastAsia="zh-CN"/>
              </w:rPr>
            </w:pPr>
            <w:r>
              <w:rPr>
                <w:rFonts w:hint="eastAsia" w:ascii="楷体" w:hAnsi="楷体" w:eastAsia="楷体" w:cs="楷体"/>
                <w:b/>
                <w:bCs/>
                <w:sz w:val="22"/>
                <w:szCs w:val="28"/>
                <w:vertAlign w:val="baseline"/>
                <w:lang w:val="en-US" w:eastAsia="zh-CN"/>
              </w:rPr>
              <w:t>单位名称</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r>
              <w:rPr>
                <w:rFonts w:hint="eastAsia" w:ascii="楷体" w:hAnsi="楷体" w:eastAsia="楷体" w:cs="楷体"/>
                <w:b/>
                <w:bCs/>
                <w:sz w:val="22"/>
                <w:szCs w:val="28"/>
                <w:vertAlign w:val="baseline"/>
                <w:lang w:val="en-US" w:eastAsia="zh-CN"/>
              </w:rPr>
              <w:t>反馈意见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r>
              <w:rPr>
                <w:rFonts w:hint="eastAsia" w:ascii="楷体" w:hAnsi="楷体" w:eastAsia="楷体" w:cs="楷体"/>
                <w:b/>
                <w:bCs/>
                <w:sz w:val="22"/>
                <w:szCs w:val="28"/>
                <w:vertAlign w:val="baseline"/>
                <w:lang w:val="en-US" w:eastAsia="zh-CN"/>
              </w:rPr>
              <w:t>理由</w:t>
            </w: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4"/>
                <w:szCs w:val="32"/>
                <w:vertAlign w:val="baseline"/>
                <w:lang w:val="en-US" w:eastAsia="zh-CN"/>
              </w:rPr>
            </w:pPr>
            <w:r>
              <w:rPr>
                <w:rFonts w:hint="eastAsia" w:ascii="楷体" w:hAnsi="楷体" w:eastAsia="楷体" w:cs="楷体"/>
                <w:b/>
                <w:bCs/>
                <w:sz w:val="22"/>
                <w:szCs w:val="28"/>
                <w:vertAlign w:val="baseline"/>
                <w:lang w:val="en-US" w:eastAsia="zh-CN"/>
              </w:rPr>
              <w:t>是否采纳</w:t>
            </w:r>
          </w:p>
        </w:tc>
        <w:tc>
          <w:tcPr>
            <w:tcW w:w="37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b/>
                <w:bCs/>
                <w:sz w:val="22"/>
                <w:szCs w:val="22"/>
                <w:vertAlign w:val="baseline"/>
                <w:lang w:val="en-US" w:eastAsia="zh-CN"/>
              </w:rPr>
            </w:pPr>
            <w:r>
              <w:rPr>
                <w:rFonts w:hint="eastAsia" w:ascii="楷体" w:hAnsi="楷体" w:eastAsia="楷体" w:cs="楷体"/>
                <w:b/>
                <w:bCs/>
                <w:sz w:val="22"/>
                <w:szCs w:val="22"/>
                <w:vertAlign w:val="baseline"/>
                <w:lang w:val="en-US" w:eastAsia="zh-CN"/>
              </w:rPr>
              <w:t>未采纳理由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6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1</w:t>
            </w:r>
          </w:p>
        </w:tc>
        <w:tc>
          <w:tcPr>
            <w:tcW w:w="197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省发展改革委</w:t>
            </w:r>
          </w:p>
        </w:tc>
        <w:tc>
          <w:tcPr>
            <w:tcW w:w="616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left"/>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将“二、独立储能（电网侧储能）交易方式；（四）现货电能量交易；4.现货市场价格”中“独立储能现货市场充放电价格均采用所在节电的分时电价”</w:t>
            </w:r>
            <w:r>
              <w:rPr>
                <w:rFonts w:hint="eastAsia" w:ascii="楷体" w:hAnsi="楷体" w:eastAsia="楷体" w:cs="楷体"/>
                <w:b/>
                <w:bCs/>
                <w:kern w:val="2"/>
                <w:sz w:val="21"/>
                <w:szCs w:val="24"/>
                <w:vertAlign w:val="baseline"/>
                <w:lang w:val="en-US" w:eastAsia="zh-CN" w:bidi="ar-SA"/>
              </w:rPr>
              <w:t>修改为：</w:t>
            </w:r>
            <w:r>
              <w:rPr>
                <w:rFonts w:hint="eastAsia" w:ascii="楷体" w:hAnsi="楷体" w:eastAsia="楷体" w:cs="楷体"/>
                <w:kern w:val="2"/>
                <w:sz w:val="21"/>
                <w:szCs w:val="24"/>
                <w:vertAlign w:val="baseline"/>
                <w:lang w:val="en-US" w:eastAsia="zh-CN" w:bidi="ar-SA"/>
              </w:rPr>
              <w:t>“独立储能现货市场充放电价格均采用所有节点的</w:t>
            </w:r>
            <w:r>
              <w:rPr>
                <w:rFonts w:hint="eastAsia" w:ascii="楷体" w:hAnsi="楷体" w:eastAsia="楷体" w:cs="楷体"/>
                <w:b/>
                <w:bCs/>
                <w:kern w:val="2"/>
                <w:sz w:val="21"/>
                <w:szCs w:val="24"/>
                <w:vertAlign w:val="baseline"/>
                <w:lang w:val="en-US" w:eastAsia="zh-CN" w:bidi="ar-SA"/>
              </w:rPr>
              <w:t>现货市场</w:t>
            </w:r>
            <w:r>
              <w:rPr>
                <w:rFonts w:hint="eastAsia" w:ascii="楷体" w:hAnsi="楷体" w:eastAsia="楷体" w:cs="楷体"/>
                <w:kern w:val="2"/>
                <w:sz w:val="21"/>
                <w:szCs w:val="24"/>
                <w:vertAlign w:val="baseline"/>
                <w:lang w:val="en-US" w:eastAsia="zh-CN" w:bidi="ar-SA"/>
              </w:rPr>
              <w:t>分时电价”</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表述更加准确，避免产生歧义</w:t>
            </w: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4"/>
                <w:szCs w:val="32"/>
                <w:vertAlign w:val="baseline"/>
                <w:lang w:val="en-US" w:eastAsia="zh-CN"/>
              </w:rPr>
            </w:pPr>
            <w:r>
              <w:rPr>
                <w:rFonts w:hint="eastAsia" w:ascii="楷体" w:hAnsi="楷体" w:eastAsia="楷体" w:cs="楷体"/>
                <w:sz w:val="24"/>
                <w:szCs w:val="32"/>
                <w:vertAlign w:val="baseline"/>
                <w:lang w:val="en-US" w:eastAsia="zh-CN"/>
              </w:rPr>
              <w:t>不采纳</w:t>
            </w:r>
          </w:p>
        </w:tc>
        <w:tc>
          <w:tcPr>
            <w:tcW w:w="37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default" w:ascii="楷体" w:hAnsi="楷体" w:eastAsia="楷体" w:cs="楷体"/>
                <w:sz w:val="21"/>
                <w:szCs w:val="24"/>
                <w:vertAlign w:val="baseline"/>
                <w:lang w:val="en-US" w:eastAsia="zh-CN"/>
              </w:rPr>
            </w:pPr>
            <w:r>
              <w:rPr>
                <w:rFonts w:hint="eastAsia" w:ascii="楷体" w:hAnsi="楷体" w:eastAsia="楷体" w:cs="楷体"/>
                <w:kern w:val="2"/>
                <w:sz w:val="21"/>
                <w:szCs w:val="24"/>
                <w:vertAlign w:val="baseline"/>
                <w:lang w:val="en-US" w:eastAsia="zh-CN" w:bidi="ar-SA"/>
              </w:rPr>
              <w:t>在现货市场，应按照现货市场规定，</w:t>
            </w:r>
            <w:r>
              <w:rPr>
                <w:rFonts w:hint="eastAsia" w:ascii="楷体" w:hAnsi="楷体" w:eastAsia="楷体" w:cs="楷体"/>
                <w:sz w:val="21"/>
                <w:szCs w:val="24"/>
                <w:vertAlign w:val="baseline"/>
                <w:lang w:val="en-US" w:eastAsia="zh-CN"/>
              </w:rPr>
              <w:t>执行所在节点的价格。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6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pPr>
          </w:p>
        </w:tc>
        <w:tc>
          <w:tcPr>
            <w:tcW w:w="19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pPr>
          </w:p>
        </w:tc>
        <w:tc>
          <w:tcPr>
            <w:tcW w:w="616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left"/>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将“五、职责分工；（一）政府主管部门及能源监管机构”中“省能源局、国家能源局贵州监管办建立健全新型储能参与电力市场机制，依职责组织编制本实施方案、市场交易细则。组织新型储能参与电力市场交易工作。国家能源局贵州监管办、省能源局根据职能依法依规履行监管职责。”</w:t>
            </w:r>
            <w:r>
              <w:rPr>
                <w:rFonts w:hint="eastAsia" w:ascii="楷体" w:hAnsi="楷体" w:eastAsia="楷体" w:cs="楷体"/>
                <w:b/>
                <w:bCs/>
                <w:kern w:val="2"/>
                <w:sz w:val="21"/>
                <w:szCs w:val="24"/>
                <w:vertAlign w:val="baseline"/>
                <w:lang w:val="en-US" w:eastAsia="zh-CN" w:bidi="ar-SA"/>
              </w:rPr>
              <w:t>修改为</w:t>
            </w:r>
            <w:r>
              <w:rPr>
                <w:rFonts w:hint="eastAsia" w:ascii="楷体" w:hAnsi="楷体" w:eastAsia="楷体" w:cs="楷体"/>
                <w:kern w:val="2"/>
                <w:sz w:val="21"/>
                <w:szCs w:val="24"/>
                <w:vertAlign w:val="baseline"/>
                <w:lang w:val="en-US" w:eastAsia="zh-CN" w:bidi="ar-SA"/>
              </w:rPr>
              <w:t>：“省能源局、</w:t>
            </w:r>
            <w:r>
              <w:rPr>
                <w:rFonts w:hint="eastAsia" w:ascii="楷体" w:hAnsi="楷体" w:eastAsia="楷体" w:cs="楷体"/>
                <w:b/>
                <w:bCs/>
                <w:kern w:val="2"/>
                <w:sz w:val="21"/>
                <w:szCs w:val="24"/>
                <w:vertAlign w:val="baseline"/>
                <w:lang w:val="en-US" w:eastAsia="zh-CN" w:bidi="ar-SA"/>
              </w:rPr>
              <w:t>贵州发展改革委、</w:t>
            </w:r>
            <w:r>
              <w:rPr>
                <w:rFonts w:hint="eastAsia" w:ascii="楷体" w:hAnsi="楷体" w:eastAsia="楷体" w:cs="楷体"/>
                <w:kern w:val="2"/>
                <w:sz w:val="21"/>
                <w:szCs w:val="24"/>
                <w:vertAlign w:val="baseline"/>
                <w:lang w:val="en-US" w:eastAsia="zh-CN" w:bidi="ar-SA"/>
              </w:rPr>
              <w:t>国家能源局贵州监管办建立健全新型储能参与电力市场机制，依职责组织编制本实施方案、市场交易细则，组织新型储能参与电力市场交易工作，</w:t>
            </w:r>
            <w:r>
              <w:rPr>
                <w:rFonts w:hint="eastAsia" w:ascii="楷体" w:hAnsi="楷体" w:eastAsia="楷体" w:cs="楷体"/>
                <w:b/>
                <w:bCs/>
                <w:kern w:val="2"/>
                <w:sz w:val="21"/>
                <w:szCs w:val="24"/>
                <w:vertAlign w:val="baseline"/>
                <w:lang w:val="en-US" w:eastAsia="zh-CN" w:bidi="ar-SA"/>
              </w:rPr>
              <w:t>省发展改革委组织实施新型储能价格政策。</w:t>
            </w:r>
            <w:r>
              <w:rPr>
                <w:rFonts w:hint="eastAsia" w:ascii="楷体" w:hAnsi="楷体" w:eastAsia="楷体" w:cs="楷体"/>
                <w:kern w:val="2"/>
                <w:sz w:val="21"/>
                <w:szCs w:val="24"/>
                <w:vertAlign w:val="baseline"/>
                <w:lang w:val="en-US" w:eastAsia="zh-CN" w:bidi="ar-SA"/>
              </w:rPr>
              <w:t>国家能源局贵州监管办、省能源局根据职能依法依规履行监管职责，</w:t>
            </w:r>
            <w:r>
              <w:rPr>
                <w:rFonts w:hint="eastAsia" w:ascii="楷体" w:hAnsi="楷体" w:eastAsia="楷体" w:cs="楷体"/>
                <w:b/>
                <w:bCs/>
                <w:kern w:val="2"/>
                <w:sz w:val="21"/>
                <w:szCs w:val="24"/>
                <w:vertAlign w:val="baseline"/>
                <w:lang w:val="en-US" w:eastAsia="zh-CN" w:bidi="ar-SA"/>
              </w:rPr>
              <w:t>省发展改革委依法履行价格监管职能。</w:t>
            </w:r>
            <w:r>
              <w:rPr>
                <w:rFonts w:hint="eastAsia" w:ascii="楷体" w:hAnsi="楷体" w:eastAsia="楷体" w:cs="楷体"/>
                <w:kern w:val="2"/>
                <w:sz w:val="21"/>
                <w:szCs w:val="24"/>
                <w:vertAlign w:val="baseline"/>
                <w:lang w:val="en-US" w:eastAsia="zh-CN" w:bidi="ar-SA"/>
              </w:rPr>
              <w:t>”</w:t>
            </w:r>
          </w:p>
        </w:tc>
        <w:tc>
          <w:tcPr>
            <w:tcW w:w="24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p>
        </w:tc>
        <w:tc>
          <w:tcPr>
            <w:tcW w:w="66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部分采纳</w:t>
            </w:r>
          </w:p>
        </w:tc>
        <w:tc>
          <w:tcPr>
            <w:tcW w:w="37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sz w:val="21"/>
                <w:szCs w:val="24"/>
                <w:vertAlign w:val="baseline"/>
                <w:lang w:val="en-US" w:eastAsia="zh-CN"/>
              </w:rPr>
              <w:t>省发展改革委组织实施新型储能价格政策。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6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p>
        </w:tc>
        <w:tc>
          <w:tcPr>
            <w:tcW w:w="19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p>
        </w:tc>
        <w:tc>
          <w:tcPr>
            <w:tcW w:w="616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left"/>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将“六、组织实施”中“在省深化电力体制改革部门间联席会议的统筹部署下，省能源局、国家能源局贵州监管办充分发挥部门联合工作机制，积极组织市场运营机构、电网企业和市场主体研究，...”</w:t>
            </w:r>
            <w:r>
              <w:rPr>
                <w:rFonts w:hint="eastAsia" w:ascii="楷体" w:hAnsi="楷体" w:eastAsia="楷体" w:cs="楷体"/>
                <w:b/>
                <w:bCs/>
                <w:kern w:val="2"/>
                <w:sz w:val="21"/>
                <w:szCs w:val="24"/>
                <w:vertAlign w:val="baseline"/>
                <w:lang w:val="en-US" w:eastAsia="zh-CN" w:bidi="ar-SA"/>
              </w:rPr>
              <w:t>修改为：</w:t>
            </w:r>
            <w:r>
              <w:rPr>
                <w:rFonts w:hint="eastAsia" w:ascii="楷体" w:hAnsi="楷体" w:eastAsia="楷体" w:cs="楷体"/>
                <w:kern w:val="2"/>
                <w:sz w:val="21"/>
                <w:szCs w:val="24"/>
                <w:vertAlign w:val="baseline"/>
                <w:lang w:val="en-US" w:eastAsia="zh-CN" w:bidi="ar-SA"/>
              </w:rPr>
              <w:t>“在省深化电力体制改革部门间联席会议的统筹部署下，省能源局、</w:t>
            </w:r>
            <w:r>
              <w:rPr>
                <w:rFonts w:hint="eastAsia" w:ascii="楷体" w:hAnsi="楷体" w:eastAsia="楷体" w:cs="楷体"/>
                <w:b/>
                <w:bCs/>
                <w:kern w:val="2"/>
                <w:sz w:val="21"/>
                <w:szCs w:val="24"/>
                <w:vertAlign w:val="baseline"/>
                <w:lang w:val="en-US" w:eastAsia="zh-CN" w:bidi="ar-SA"/>
              </w:rPr>
              <w:t>省发展改革委、</w:t>
            </w:r>
            <w:r>
              <w:rPr>
                <w:rFonts w:hint="eastAsia" w:ascii="楷体" w:hAnsi="楷体" w:eastAsia="楷体" w:cs="楷体"/>
                <w:kern w:val="2"/>
                <w:sz w:val="21"/>
                <w:szCs w:val="24"/>
                <w:vertAlign w:val="baseline"/>
                <w:lang w:val="en-US" w:eastAsia="zh-CN" w:bidi="ar-SA"/>
              </w:rPr>
              <w:t>国家能源局贵州监管办充分发挥部门联合工作机制，积极组织市场运</w:t>
            </w:r>
            <w:r>
              <w:rPr>
                <w:rFonts w:hint="eastAsia" w:ascii="楷体" w:hAnsi="楷体" w:eastAsia="楷体" w:cs="楷体"/>
                <w:b/>
                <w:bCs/>
                <w:kern w:val="2"/>
                <w:sz w:val="21"/>
                <w:szCs w:val="24"/>
                <w:vertAlign w:val="baseline"/>
                <w:lang w:val="en-US" w:eastAsia="zh-CN" w:bidi="ar-SA"/>
              </w:rPr>
              <w:t>行</w:t>
            </w:r>
            <w:r>
              <w:rPr>
                <w:rFonts w:hint="eastAsia" w:ascii="楷体" w:hAnsi="楷体" w:eastAsia="楷体" w:cs="楷体"/>
                <w:kern w:val="2"/>
                <w:sz w:val="21"/>
                <w:szCs w:val="24"/>
                <w:vertAlign w:val="baseline"/>
                <w:lang w:val="en-US" w:eastAsia="zh-CN" w:bidi="ar-SA"/>
              </w:rPr>
              <w:t>机构、电网企业和市场主体研究，...”</w:t>
            </w:r>
          </w:p>
        </w:tc>
        <w:tc>
          <w:tcPr>
            <w:tcW w:w="24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p>
        </w:tc>
        <w:tc>
          <w:tcPr>
            <w:tcW w:w="66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部分采纳</w:t>
            </w:r>
          </w:p>
        </w:tc>
        <w:tc>
          <w:tcPr>
            <w:tcW w:w="37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运营机构不变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56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2</w:t>
            </w:r>
          </w:p>
        </w:tc>
        <w:tc>
          <w:tcPr>
            <w:tcW w:w="197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国家能源局贵州监管办</w:t>
            </w:r>
          </w:p>
        </w:tc>
        <w:tc>
          <w:tcPr>
            <w:tcW w:w="616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left"/>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第（五）部分：“独立储能按照南方区域及贵州电力辅助服务市场交易规则相关规定，参与区域调频、跨省备用、调峰等辅助服务市场交易”</w:t>
            </w:r>
            <w:r>
              <w:rPr>
                <w:rFonts w:hint="eastAsia" w:ascii="楷体" w:hAnsi="楷体" w:eastAsia="楷体" w:cs="楷体"/>
                <w:b/>
                <w:bCs/>
                <w:kern w:val="2"/>
                <w:sz w:val="21"/>
                <w:szCs w:val="24"/>
                <w:vertAlign w:val="baseline"/>
                <w:lang w:val="en-US" w:eastAsia="zh-CN" w:bidi="ar-SA"/>
              </w:rPr>
              <w:t>修改为：</w:t>
            </w:r>
            <w:r>
              <w:rPr>
                <w:rFonts w:hint="eastAsia" w:ascii="楷体" w:hAnsi="楷体" w:eastAsia="楷体" w:cs="楷体"/>
                <w:kern w:val="2"/>
                <w:sz w:val="21"/>
                <w:szCs w:val="24"/>
                <w:vertAlign w:val="baseline"/>
                <w:lang w:val="en-US" w:eastAsia="zh-CN" w:bidi="ar-SA"/>
              </w:rPr>
              <w:t>“独立储能按照南方区域两个细则、南方区域调频及备用服务市场交易规则、贵州电力调峰及黑启动辅助服务市场交易规则等规定，参与区域调频、跨省备用、调峰等辅助服务市场交易”</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4"/>
                <w:szCs w:val="32"/>
                <w:vertAlign w:val="baseline"/>
                <w:lang w:val="en-US" w:eastAsia="zh-CN"/>
              </w:rPr>
            </w:pPr>
            <w:r>
              <w:rPr>
                <w:rFonts w:hint="eastAsia" w:ascii="楷体" w:hAnsi="楷体" w:eastAsia="楷体" w:cs="楷体"/>
                <w:sz w:val="24"/>
                <w:szCs w:val="32"/>
                <w:vertAlign w:val="baseline"/>
                <w:lang w:val="en-US" w:eastAsia="zh-CN"/>
              </w:rPr>
              <w:t>采纳</w:t>
            </w:r>
          </w:p>
        </w:tc>
        <w:tc>
          <w:tcPr>
            <w:tcW w:w="3748" w:type="dxa"/>
            <w:vAlign w:val="bottom"/>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56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2"/>
                <w:szCs w:val="28"/>
              </w:rPr>
            </w:pPr>
          </w:p>
        </w:tc>
        <w:tc>
          <w:tcPr>
            <w:tcW w:w="19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2"/>
                <w:szCs w:val="28"/>
              </w:rPr>
            </w:pPr>
          </w:p>
        </w:tc>
        <w:tc>
          <w:tcPr>
            <w:tcW w:w="616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left"/>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建议：统一方案中关于辅助服务的说法</w:t>
            </w:r>
          </w:p>
        </w:tc>
        <w:tc>
          <w:tcPr>
            <w:tcW w:w="2475" w:type="dxa"/>
            <w:vAlign w:val="center"/>
          </w:tcPr>
          <w:p>
            <w:pPr>
              <w:pStyle w:val="7"/>
              <w:numPr>
                <w:ilvl w:val="0"/>
                <w:numId w:val="0"/>
              </w:numPr>
              <w:spacing w:line="240" w:lineRule="auto"/>
              <w:jc w:val="center"/>
              <w:rPr>
                <w:rFonts w:hint="eastAsia" w:ascii="楷体" w:hAnsi="楷体" w:eastAsia="楷体" w:cs="楷体"/>
                <w:kern w:val="2"/>
                <w:sz w:val="21"/>
                <w:szCs w:val="24"/>
                <w:vertAlign w:val="baseline"/>
                <w:lang w:val="en-US" w:eastAsia="zh-CN" w:bidi="ar-SA"/>
              </w:rPr>
            </w:pPr>
          </w:p>
        </w:tc>
        <w:tc>
          <w:tcPr>
            <w:tcW w:w="66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采纳</w:t>
            </w:r>
          </w:p>
        </w:tc>
        <w:tc>
          <w:tcPr>
            <w:tcW w:w="3748" w:type="dxa"/>
            <w:vAlign w:val="bottom"/>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3</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sz w:val="21"/>
                <w:szCs w:val="24"/>
                <w:vertAlign w:val="baseline"/>
                <w:lang w:val="en-US" w:eastAsia="zh-CN"/>
              </w:rPr>
              <w:t>贵州电网公司</w:t>
            </w:r>
          </w:p>
        </w:tc>
        <w:tc>
          <w:tcPr>
            <w:tcW w:w="6169" w:type="dxa"/>
            <w:vAlign w:val="center"/>
          </w:tcPr>
          <w:p>
            <w:pPr>
              <w:pStyle w:val="7"/>
              <w:numPr>
                <w:ilvl w:val="0"/>
                <w:numId w:val="0"/>
              </w:numPr>
              <w:spacing w:line="240" w:lineRule="auto"/>
              <w:jc w:val="left"/>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二、</w:t>
            </w:r>
            <w:r>
              <w:rPr>
                <w:rFonts w:hint="default" w:ascii="楷体" w:hAnsi="楷体" w:eastAsia="楷体" w:cs="楷体"/>
                <w:kern w:val="2"/>
                <w:sz w:val="21"/>
                <w:szCs w:val="24"/>
                <w:vertAlign w:val="baseline"/>
                <w:lang w:val="en-US" w:eastAsia="zh-CN" w:bidi="ar-SA"/>
              </w:rPr>
              <w:t>独立储能（电网侧储能）交易方式（四）现货电能量交易</w:t>
            </w:r>
            <w:r>
              <w:rPr>
                <w:rFonts w:hint="eastAsia" w:ascii="楷体" w:hAnsi="楷体" w:eastAsia="楷体" w:cs="楷体"/>
                <w:kern w:val="2"/>
                <w:sz w:val="21"/>
                <w:szCs w:val="24"/>
                <w:vertAlign w:val="baseline"/>
                <w:lang w:val="en-US" w:eastAsia="zh-CN" w:bidi="ar-SA"/>
              </w:rPr>
              <w:t>：“独立储能全电量参与现货市场出清。”</w:t>
            </w:r>
            <w:r>
              <w:rPr>
                <w:rFonts w:hint="eastAsia" w:ascii="楷体" w:hAnsi="楷体" w:eastAsia="楷体" w:cs="楷体"/>
                <w:b/>
                <w:bCs/>
                <w:kern w:val="2"/>
                <w:sz w:val="21"/>
                <w:szCs w:val="24"/>
                <w:vertAlign w:val="baseline"/>
                <w:lang w:val="en-US" w:eastAsia="zh-CN" w:bidi="ar-SA"/>
              </w:rPr>
              <w:t>修改建议：</w:t>
            </w:r>
            <w:r>
              <w:rPr>
                <w:rFonts w:hint="eastAsia" w:ascii="楷体" w:hAnsi="楷体" w:eastAsia="楷体" w:cs="楷体"/>
                <w:kern w:val="2"/>
                <w:sz w:val="21"/>
                <w:szCs w:val="24"/>
                <w:vertAlign w:val="baseline"/>
                <w:lang w:val="en-US" w:eastAsia="zh-CN" w:bidi="ar-SA"/>
              </w:rPr>
              <w:t>“独立储能全电量参与现货市场出清，具备条件时采用报量报价方式参与，不具备条件时可考虑采用报量不报价等其他方式参与”。</w:t>
            </w:r>
          </w:p>
        </w:tc>
        <w:tc>
          <w:tcPr>
            <w:tcW w:w="2475" w:type="dxa"/>
            <w:vAlign w:val="center"/>
          </w:tcPr>
          <w:p>
            <w:pPr>
              <w:pStyle w:val="7"/>
              <w:numPr>
                <w:ilvl w:val="0"/>
                <w:numId w:val="0"/>
              </w:numPr>
              <w:spacing w:line="240" w:lineRule="auto"/>
              <w:jc w:val="left"/>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原因：初期区域现货系统需要做储能参与的算法、模型等改造，若不具备条件可在初期考虑采用报量不报价等其他方式参与，具备条件后采用报量报价方式参与。</w:t>
            </w: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4"/>
                <w:szCs w:val="32"/>
                <w:vertAlign w:val="baseline"/>
                <w:lang w:val="en-US" w:eastAsia="zh-CN"/>
              </w:rPr>
            </w:pPr>
            <w:r>
              <w:rPr>
                <w:rFonts w:hint="eastAsia" w:ascii="楷体" w:hAnsi="楷体" w:eastAsia="楷体" w:cs="楷体"/>
                <w:sz w:val="24"/>
                <w:szCs w:val="32"/>
                <w:vertAlign w:val="baseline"/>
                <w:lang w:val="en-US" w:eastAsia="zh-CN"/>
              </w:rPr>
              <w:t>采纳</w:t>
            </w:r>
          </w:p>
        </w:tc>
        <w:tc>
          <w:tcPr>
            <w:tcW w:w="37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4</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六盘水市能源局</w:t>
            </w:r>
          </w:p>
        </w:tc>
        <w:tc>
          <w:tcPr>
            <w:tcW w:w="6169" w:type="dxa"/>
            <w:vAlign w:val="center"/>
          </w:tcPr>
          <w:p>
            <w:pPr>
              <w:keepNext w:val="0"/>
              <w:keepLines w:val="0"/>
              <w:widowControl/>
              <w:suppressLineNumbers w:val="0"/>
              <w:jc w:val="center"/>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楷体" w:hAnsi="楷体" w:eastAsia="楷体" w:cs="楷体"/>
                <w:sz w:val="21"/>
                <w:szCs w:val="24"/>
                <w:vertAlign w:val="baseline"/>
                <w:lang w:val="en-US" w:eastAsia="zh-CN"/>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4"/>
                <w:szCs w:val="32"/>
                <w:vertAlign w:val="baseline"/>
              </w:rPr>
            </w:pPr>
          </w:p>
        </w:tc>
        <w:tc>
          <w:tcPr>
            <w:tcW w:w="37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5</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遵义市工能局</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楷体" w:hAnsi="楷体" w:eastAsia="楷体" w:cs="楷体"/>
                <w:sz w:val="21"/>
                <w:szCs w:val="24"/>
                <w:vertAlign w:val="baseline"/>
                <w:lang w:val="en-US" w:eastAsia="zh-CN"/>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4"/>
                <w:szCs w:val="32"/>
                <w:vertAlign w:val="baseline"/>
              </w:rPr>
            </w:pPr>
          </w:p>
        </w:tc>
        <w:tc>
          <w:tcPr>
            <w:tcW w:w="37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6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6</w:t>
            </w:r>
          </w:p>
        </w:tc>
        <w:tc>
          <w:tcPr>
            <w:tcW w:w="197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国家电投贵州金元股份有限公司</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二、独立储能（电网侧储能）交易方式；建议：增加储能示范项目，不参加中长期交易及现货交易</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为推动储能示范项目，建议其不参与中长期及现货交易，稳定收益预期</w:t>
            </w: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4"/>
                <w:szCs w:val="32"/>
                <w:vertAlign w:val="baseline"/>
                <w:lang w:val="en-US" w:eastAsia="zh-CN"/>
              </w:rPr>
            </w:pPr>
            <w:r>
              <w:rPr>
                <w:rFonts w:hint="eastAsia" w:ascii="楷体" w:hAnsi="楷体" w:eastAsia="楷体" w:cs="楷体"/>
                <w:sz w:val="24"/>
                <w:szCs w:val="32"/>
                <w:vertAlign w:val="baseline"/>
                <w:lang w:val="en-US" w:eastAsia="zh-CN"/>
              </w:rPr>
              <w:t>不采纳</w:t>
            </w:r>
          </w:p>
        </w:tc>
        <w:tc>
          <w:tcPr>
            <w:tcW w:w="37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储能进入市场，需标准统一，区分对待不好操作。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6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pPr>
          </w:p>
        </w:tc>
        <w:tc>
          <w:tcPr>
            <w:tcW w:w="19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pPr>
          </w:p>
        </w:tc>
        <w:tc>
          <w:tcPr>
            <w:tcW w:w="616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left"/>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三、电源侧储能交易方式（三）交易结算；建议电源侧储能与电网侧储能保持一致，明确向电网反送电的，其相应的充电电量不承担输配电价和政府性基金及附加。</w:t>
            </w:r>
          </w:p>
        </w:tc>
        <w:tc>
          <w:tcPr>
            <w:tcW w:w="24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left"/>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电源侧储能与电网侧储能一样具备向电网反送电的能力，为鼓励储能发展，建议明确建设初期其相应的充电电量不承担输配电价和政府性基金及附加。</w:t>
            </w:r>
          </w:p>
        </w:tc>
        <w:tc>
          <w:tcPr>
            <w:tcW w:w="66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sz w:val="24"/>
                <w:szCs w:val="32"/>
                <w:vertAlign w:val="baseline"/>
                <w:lang w:val="en-US" w:eastAsia="zh-CN"/>
              </w:rPr>
              <w:t>不采纳</w:t>
            </w:r>
          </w:p>
        </w:tc>
        <w:tc>
          <w:tcPr>
            <w:tcW w:w="37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电源侧储能保持与发电企业作为整体的运行模式，由对应发电企业整体参与电力市场交易。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7</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大唐贵州发电有限公司</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三、电源侧储能交易方式（三）交易结算电源侧储能联合发电机组的电能量市场电费作为对应发电企业市场交易电费的组成部分，按照贵州电能量市场规则结算；电源侧储能联合发电机组参与辅助市场相关费用按照辅助服务市场交易规则进行结算。建议修改：电源侧储能向电网送电的，其相应的充电电量不承担输配电价和政府性基金附加。</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电源侧储能与电网侧储能一样具备向电网反送电的能力，为鼓励储能发展，建议充电电量不承担输配电价和政府基金及附加。</w:t>
            </w: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4"/>
                <w:szCs w:val="32"/>
                <w:vertAlign w:val="baseline"/>
                <w:lang w:val="en-US" w:eastAsia="zh-CN"/>
              </w:rPr>
            </w:pPr>
            <w:r>
              <w:rPr>
                <w:rFonts w:hint="eastAsia" w:ascii="楷体" w:hAnsi="楷体" w:eastAsia="楷体" w:cs="楷体"/>
                <w:sz w:val="24"/>
                <w:szCs w:val="32"/>
                <w:vertAlign w:val="baseline"/>
                <w:lang w:val="en-US" w:eastAsia="zh-CN"/>
              </w:rPr>
              <w:t>不采纳</w:t>
            </w:r>
          </w:p>
        </w:tc>
        <w:tc>
          <w:tcPr>
            <w:tcW w:w="37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default" w:ascii="楷体" w:hAnsi="楷体" w:eastAsia="楷体" w:cs="楷体"/>
                <w:sz w:val="21"/>
                <w:szCs w:val="24"/>
                <w:vertAlign w:val="baseline"/>
                <w:lang w:val="en-US" w:eastAsia="zh-CN"/>
              </w:rPr>
            </w:pPr>
            <w:r>
              <w:rPr>
                <w:rFonts w:hint="eastAsia" w:ascii="楷体" w:hAnsi="楷体" w:eastAsia="楷体" w:cs="楷体"/>
                <w:kern w:val="2"/>
                <w:sz w:val="21"/>
                <w:szCs w:val="24"/>
                <w:vertAlign w:val="baseline"/>
                <w:lang w:val="en-US" w:eastAsia="zh-CN" w:bidi="ar-SA"/>
              </w:rPr>
              <w:t>电源侧储能保持与发电企业作为整体的运行模式，由对应发电企业整体参与电力市场交易。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8</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贵州兴义电力发展有限公司</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第二大条：独立储能（电网侧储能）交易方式第六条：交易结算，独立储能向电网送电的，其相应充电电量不承担输配电价和政府性基金及附加。修改为：独立储能向电网送电的，其相应充电电量不承担输配电价、线损电价、政府性基金及附加和基本电费</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建立独立储能在不承担输配电价和政府性基金及附加的基础上，再减免线损电价和基本电费</w:t>
            </w: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4"/>
                <w:szCs w:val="32"/>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4"/>
                <w:szCs w:val="32"/>
                <w:vertAlign w:val="baseline"/>
                <w:lang w:val="en-US" w:eastAsia="zh-CN"/>
              </w:rPr>
            </w:pPr>
            <w:r>
              <w:rPr>
                <w:rFonts w:hint="eastAsia" w:ascii="楷体" w:hAnsi="楷体" w:eastAsia="楷体" w:cs="楷体"/>
                <w:sz w:val="24"/>
                <w:szCs w:val="32"/>
                <w:vertAlign w:val="baseline"/>
                <w:lang w:val="en-US" w:eastAsia="zh-CN"/>
              </w:rPr>
              <w:t>采纳</w:t>
            </w:r>
          </w:p>
        </w:tc>
        <w:tc>
          <w:tcPr>
            <w:tcW w:w="37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6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9</w:t>
            </w:r>
          </w:p>
        </w:tc>
        <w:tc>
          <w:tcPr>
            <w:tcW w:w="197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贵州乌江水电开发有限责任公司</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已选择市场交易的独立储能，原则上不得自行退出市场。建议修改：独立储能全电量参与电力市场，已参与电力市场交易的独立储能，原则上不得自行退出市场。</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明确电储能企业参与电力市场相关规定。否则应明确不参与市场交易的相关电价政策。</w:t>
            </w: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4"/>
                <w:szCs w:val="32"/>
                <w:vertAlign w:val="baseline"/>
                <w:lang w:val="en-US" w:eastAsia="zh-CN"/>
              </w:rPr>
            </w:pPr>
            <w:r>
              <w:rPr>
                <w:rFonts w:hint="eastAsia" w:ascii="楷体" w:hAnsi="楷体" w:eastAsia="楷体" w:cs="楷体"/>
                <w:sz w:val="24"/>
                <w:szCs w:val="32"/>
                <w:vertAlign w:val="baseline"/>
                <w:lang w:val="en-US" w:eastAsia="zh-CN"/>
              </w:rPr>
              <w:t>采纳</w:t>
            </w:r>
          </w:p>
        </w:tc>
        <w:tc>
          <w:tcPr>
            <w:tcW w:w="3748"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default" w:ascii="楷体" w:hAnsi="楷体" w:eastAsia="楷体" w:cs="楷体"/>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6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pPr>
          </w:p>
        </w:tc>
        <w:tc>
          <w:tcPr>
            <w:tcW w:w="19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pP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二、独立储能(电网侧储能)交易方式（三）中长期电能量交易；独立储能可与其他市场主体开展中长期交易，在充电时段购买电量，在放电时段出售电量。</w:t>
            </w:r>
            <w:r>
              <w:rPr>
                <w:rFonts w:hint="eastAsia" w:ascii="楷体" w:hAnsi="楷体" w:eastAsia="楷体" w:cs="楷体"/>
                <w:b/>
                <w:bCs/>
                <w:kern w:val="2"/>
                <w:sz w:val="21"/>
                <w:szCs w:val="24"/>
                <w:vertAlign w:val="baseline"/>
                <w:lang w:val="en-US" w:eastAsia="zh-CN" w:bidi="ar-SA"/>
              </w:rPr>
              <w:t>建议增加：</w:t>
            </w:r>
            <w:r>
              <w:rPr>
                <w:rFonts w:hint="eastAsia" w:ascii="楷体" w:hAnsi="楷体" w:eastAsia="楷体" w:cs="楷体"/>
                <w:kern w:val="2"/>
                <w:sz w:val="21"/>
                <w:szCs w:val="24"/>
                <w:vertAlign w:val="baseline"/>
                <w:lang w:val="en-US" w:eastAsia="zh-CN" w:bidi="ar-SA"/>
              </w:rPr>
              <w:t>在省内电力现货市场常态化运行前，电网企业按峰时段电价与独立储能电站结算，由此产生的损益纳入峰谷分时电价损益按月由全体工商业用户分摊。</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参照《关于开展我省 2023 年独立储示范项目建设的通知》，尽快推动独立储能示范项目年内建成并网发电。</w:t>
            </w:r>
          </w:p>
        </w:tc>
        <w:tc>
          <w:tcPr>
            <w:tcW w:w="66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不采纳</w:t>
            </w:r>
          </w:p>
        </w:tc>
        <w:tc>
          <w:tcPr>
            <w:tcW w:w="3748"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储能参与市场化，需按照市场化电价方式结算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6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p>
        </w:tc>
        <w:tc>
          <w:tcPr>
            <w:tcW w:w="19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楷体" w:hAnsi="楷体" w:eastAsia="楷体" w:cs="楷体"/>
                <w:b/>
                <w:bCs/>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四、用户侧储能交易方式(一) 电能量交易</w:t>
            </w:r>
            <w:r>
              <w:rPr>
                <w:rFonts w:hint="eastAsia" w:ascii="楷体" w:hAnsi="楷体" w:eastAsia="楷体" w:cs="楷体"/>
                <w:b/>
                <w:bCs/>
                <w:kern w:val="2"/>
                <w:sz w:val="21"/>
                <w:szCs w:val="24"/>
                <w:vertAlign w:val="baseline"/>
                <w:lang w:val="en-US" w:eastAsia="zh-CN" w:bidi="ar-SA"/>
              </w:rPr>
              <w:t>建议增加：</w:t>
            </w:r>
          </w:p>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电储能用电执行峰谷分时电价。</w:t>
            </w:r>
          </w:p>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楷体" w:hAnsi="楷体" w:eastAsia="楷体" w:cs="楷体"/>
                <w:kern w:val="2"/>
                <w:sz w:val="21"/>
                <w:szCs w:val="24"/>
                <w:vertAlign w:val="baseline"/>
                <w:lang w:val="en-US" w:eastAsia="zh-CN" w:bidi="ar-SA"/>
              </w:rPr>
            </w:pP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根据《省发展改革委关于完善峰谷分时电价机制有关事项的通知》（黔发改价格[2023]481号），明确电储能执行峰谷电价相关政策。</w:t>
            </w:r>
          </w:p>
        </w:tc>
        <w:tc>
          <w:tcPr>
            <w:tcW w:w="66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不采纳</w:t>
            </w:r>
          </w:p>
        </w:tc>
        <w:tc>
          <w:tcPr>
            <w:tcW w:w="3748"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用户侧储能，保持与电力用户作为整体的运营模式，由对应电力用户整体参与市场交易。是否执行峰谷，按国家规定执行。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6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10</w:t>
            </w:r>
          </w:p>
        </w:tc>
        <w:tc>
          <w:tcPr>
            <w:tcW w:w="197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贵州盘江电投发电有限公司</w:t>
            </w:r>
          </w:p>
        </w:tc>
        <w:tc>
          <w:tcPr>
            <w:tcW w:w="6169" w:type="dxa"/>
            <w:vAlign w:val="center"/>
          </w:tcPr>
          <w:p>
            <w:pPr>
              <w:keepNext w:val="0"/>
              <w:keepLines w:val="0"/>
              <w:pageBreakBefore w:val="0"/>
              <w:widowControl w:val="0"/>
              <w:tabs>
                <w:tab w:val="left" w:pos="1069"/>
              </w:tabs>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第二大条：独立储能（电网侧储能）交易方式：独立储能是指直接接入公用电网的新型储能项目（包括在发电企业、电力用户计量关口外并网），满足准入条件的，可作为独立主体参与市场交易。</w:t>
            </w:r>
            <w:r>
              <w:rPr>
                <w:rFonts w:hint="eastAsia" w:ascii="楷体" w:hAnsi="楷体" w:eastAsia="楷体" w:cs="楷体"/>
                <w:b/>
                <w:bCs/>
                <w:kern w:val="2"/>
                <w:sz w:val="21"/>
                <w:szCs w:val="24"/>
                <w:vertAlign w:val="baseline"/>
                <w:lang w:val="en-US" w:eastAsia="zh-CN" w:bidi="ar-SA"/>
              </w:rPr>
              <w:t>修改为</w:t>
            </w:r>
            <w:r>
              <w:rPr>
                <w:rFonts w:hint="eastAsia" w:ascii="楷体" w:hAnsi="楷体" w:eastAsia="楷体" w:cs="楷体"/>
                <w:kern w:val="2"/>
                <w:sz w:val="21"/>
                <w:szCs w:val="24"/>
                <w:vertAlign w:val="baseline"/>
                <w:lang w:val="en-US" w:eastAsia="zh-CN" w:bidi="ar-SA"/>
              </w:rPr>
              <w:t>：独立储能（电网侧储能）交易方式：独立储能是指直接接入公用电网的新型储能项目，有条件的允许接入发电企业计量关口内的母线上，电力用户须在计量关口外并网，满足准入条件的，可作为独立储能由电网企业直接调度。</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目前独立储能作为新兴投资建设项目，回报率、收益率难以测算，建议独立储能有条件的允许接入发电企业计量关口内的母线上，以增加独立储能调度的灵活性和可靠性，减少投资，又不影响调度。</w:t>
            </w: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4"/>
                <w:szCs w:val="32"/>
                <w:vertAlign w:val="baseline"/>
                <w:lang w:val="en-US" w:eastAsia="zh-CN"/>
              </w:rPr>
            </w:pPr>
            <w:r>
              <w:rPr>
                <w:rFonts w:hint="eastAsia" w:ascii="楷体" w:hAnsi="楷体" w:eastAsia="楷体" w:cs="楷体"/>
                <w:sz w:val="24"/>
                <w:szCs w:val="32"/>
                <w:vertAlign w:val="baseline"/>
                <w:lang w:val="en-US" w:eastAsia="zh-CN"/>
              </w:rPr>
              <w:t>不采纳</w:t>
            </w:r>
          </w:p>
        </w:tc>
        <w:tc>
          <w:tcPr>
            <w:tcW w:w="3748"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独立储能接入发电企业计量关口内，会造成电量结算无法准确区分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6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pPr>
          </w:p>
        </w:tc>
        <w:tc>
          <w:tcPr>
            <w:tcW w:w="19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pPr>
          </w:p>
        </w:tc>
        <w:tc>
          <w:tcPr>
            <w:tcW w:w="616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0" w:leftChars="0" w:firstLine="0" w:firstLineChars="0"/>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第二大条：独立储能（电网侧储能）交易方式。</w:t>
            </w:r>
            <w:r>
              <w:rPr>
                <w:rFonts w:hint="eastAsia" w:ascii="楷体" w:hAnsi="楷体" w:eastAsia="楷体" w:cs="楷体"/>
                <w:b/>
                <w:bCs/>
                <w:kern w:val="2"/>
                <w:sz w:val="21"/>
                <w:szCs w:val="24"/>
                <w:vertAlign w:val="baseline"/>
                <w:lang w:val="en-US" w:eastAsia="zh-CN" w:bidi="ar-SA"/>
              </w:rPr>
              <w:t>建议明确</w:t>
            </w:r>
            <w:r>
              <w:rPr>
                <w:rFonts w:hint="eastAsia" w:ascii="楷体" w:hAnsi="楷体" w:eastAsia="楷体" w:cs="楷体"/>
                <w:kern w:val="2"/>
                <w:sz w:val="21"/>
                <w:szCs w:val="24"/>
                <w:vertAlign w:val="baseline"/>
                <w:lang w:val="en-US" w:eastAsia="zh-CN" w:bidi="ar-SA"/>
              </w:rPr>
              <w:t>独立储能不参与中长期及现货交易。在放电执行峰段电价、充电时执行谷段电价。</w:t>
            </w:r>
          </w:p>
        </w:tc>
        <w:tc>
          <w:tcPr>
            <w:tcW w:w="24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0" w:leftChars="0" w:firstLine="0" w:firstLineChars="0"/>
              <w:jc w:val="left"/>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储能不适宜参与中长期交易及现货交易，用户也不愿意只签峰段交易给独立储能。</w:t>
            </w:r>
          </w:p>
        </w:tc>
        <w:tc>
          <w:tcPr>
            <w:tcW w:w="66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不采纳</w:t>
            </w:r>
          </w:p>
        </w:tc>
        <w:tc>
          <w:tcPr>
            <w:tcW w:w="3748"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独立储能不参与中长期及现货交易，即未进入市场，充放电执行什么价，由相关政策明确。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6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p>
        </w:tc>
        <w:tc>
          <w:tcPr>
            <w:tcW w:w="19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p>
        </w:tc>
        <w:tc>
          <w:tcPr>
            <w:tcW w:w="616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0" w:leftChars="0" w:firstLine="0" w:firstLineChars="0"/>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第二大条：独立储能（电网侧储能）交易方式，第六条：交易结算，独立储能向电网送电的，其相应充电电量不承担输配电价和政府性基金及附加。</w:t>
            </w:r>
            <w:r>
              <w:rPr>
                <w:rFonts w:hint="eastAsia" w:ascii="楷体" w:hAnsi="楷体" w:eastAsia="楷体" w:cs="楷体"/>
                <w:b/>
                <w:bCs/>
                <w:kern w:val="2"/>
                <w:sz w:val="21"/>
                <w:szCs w:val="24"/>
                <w:vertAlign w:val="baseline"/>
                <w:lang w:val="en-US" w:eastAsia="zh-CN" w:bidi="ar-SA"/>
              </w:rPr>
              <w:t>建议修改为</w:t>
            </w:r>
            <w:r>
              <w:rPr>
                <w:rFonts w:hint="eastAsia" w:ascii="楷体" w:hAnsi="楷体" w:eastAsia="楷体" w:cs="楷体"/>
                <w:kern w:val="2"/>
                <w:sz w:val="21"/>
                <w:szCs w:val="24"/>
                <w:vertAlign w:val="baseline"/>
                <w:lang w:val="en-US" w:eastAsia="zh-CN" w:bidi="ar-SA"/>
              </w:rPr>
              <w:t>：独立储能向电网送电的，其相应充电电量不承担输配电价、线损电价、政府性基金及附加和基本电费。</w:t>
            </w:r>
          </w:p>
        </w:tc>
        <w:tc>
          <w:tcPr>
            <w:tcW w:w="24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0" w:leftChars="0" w:firstLine="0" w:firstLineChars="0"/>
              <w:jc w:val="left"/>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独立储能项目由于前期投资较大，结合黔发改价格〔2023〕359号文《省发展改革委关于第三监管周期贵州输配电价和销售电价有关事项的通知》文件，建议独立储能在不承担输配电价和政府性基金及附加的基础上。再减免线损电价和基本电费。</w:t>
            </w:r>
          </w:p>
        </w:tc>
        <w:tc>
          <w:tcPr>
            <w:tcW w:w="66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采纳</w:t>
            </w:r>
          </w:p>
        </w:tc>
        <w:tc>
          <w:tcPr>
            <w:tcW w:w="3748"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sz w:val="21"/>
                <w:szCs w:val="24"/>
                <w:vertAlign w:val="baseline"/>
                <w:lang w:val="en-US" w:eastAsia="zh-CN"/>
              </w:rPr>
              <w:t>11</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中广核新能源有限公司（发电企业）</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4"/>
                <w:szCs w:val="32"/>
                <w:vertAlign w:val="baseline"/>
                <w:lang w:val="en-US" w:eastAsia="zh-CN" w:bidi="ar-SA"/>
              </w:rPr>
            </w:pPr>
          </w:p>
        </w:tc>
        <w:tc>
          <w:tcPr>
            <w:tcW w:w="3748"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0" w:leftChars="0" w:firstLine="0" w:firstLineChars="0"/>
              <w:jc w:val="both"/>
              <w:textAlignment w:val="auto"/>
              <w:rPr>
                <w:rFonts w:hint="eastAsia" w:ascii="楷体" w:hAnsi="楷体" w:eastAsia="楷体" w:cs="楷体"/>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sz w:val="21"/>
                <w:szCs w:val="24"/>
                <w:vertAlign w:val="baseline"/>
                <w:lang w:val="en-US" w:eastAsia="zh-CN"/>
              </w:rPr>
              <w:t>12</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国投贵州新能源有限公司</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4"/>
                <w:szCs w:val="32"/>
                <w:vertAlign w:val="baseline"/>
                <w:lang w:val="en-US" w:eastAsia="zh-CN" w:bidi="ar-SA"/>
              </w:rPr>
            </w:pPr>
          </w:p>
        </w:tc>
        <w:tc>
          <w:tcPr>
            <w:tcW w:w="3748"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0" w:leftChars="0" w:firstLine="0" w:firstLineChars="0"/>
              <w:jc w:val="both"/>
              <w:textAlignment w:val="auto"/>
              <w:rPr>
                <w:rFonts w:hint="eastAsia" w:ascii="楷体" w:hAnsi="楷体" w:eastAsia="楷体" w:cs="楷体"/>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sz w:val="21"/>
                <w:szCs w:val="24"/>
                <w:vertAlign w:val="baseline"/>
                <w:lang w:val="en-US" w:eastAsia="zh-CN"/>
              </w:rPr>
              <w:t>13</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中核汇能贵州能源开发有限公司</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4"/>
                <w:szCs w:val="32"/>
                <w:vertAlign w:val="baseline"/>
                <w:lang w:val="en-US" w:eastAsia="zh-CN" w:bidi="ar-SA"/>
              </w:rPr>
            </w:pPr>
          </w:p>
        </w:tc>
        <w:tc>
          <w:tcPr>
            <w:tcW w:w="37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0" w:leftChars="0" w:firstLine="0" w:firstLineChars="0"/>
              <w:jc w:val="both"/>
              <w:textAlignment w:val="auto"/>
              <w:rPr>
                <w:rFonts w:hint="eastAsia" w:ascii="楷体" w:hAnsi="楷体" w:eastAsia="楷体" w:cs="楷体"/>
                <w:color w:val="auto"/>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14</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福能贵州发电有限公司（六枝电厂）</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4"/>
                <w:szCs w:val="32"/>
                <w:vertAlign w:val="baseline"/>
              </w:rPr>
            </w:pPr>
          </w:p>
        </w:tc>
        <w:tc>
          <w:tcPr>
            <w:tcW w:w="3748"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15</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国投盘江发电有限公司</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4"/>
                <w:szCs w:val="32"/>
                <w:vertAlign w:val="baseline"/>
              </w:rPr>
            </w:pPr>
          </w:p>
        </w:tc>
        <w:tc>
          <w:tcPr>
            <w:tcW w:w="3748"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16</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国家能源集团贵州分公司</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4"/>
                <w:szCs w:val="32"/>
                <w:vertAlign w:val="baseline"/>
                <w:lang w:val="en-US" w:eastAsia="zh-CN" w:bidi="ar-SA"/>
              </w:rPr>
            </w:pPr>
          </w:p>
        </w:tc>
        <w:tc>
          <w:tcPr>
            <w:tcW w:w="3748"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0" w:leftChars="0" w:firstLine="0" w:firstLineChars="0"/>
              <w:jc w:val="both"/>
              <w:textAlignment w:val="auto"/>
              <w:rPr>
                <w:rFonts w:hint="eastAsia" w:ascii="楷体" w:hAnsi="楷体" w:eastAsia="楷体" w:cs="楷体"/>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56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17</w:t>
            </w:r>
          </w:p>
        </w:tc>
        <w:tc>
          <w:tcPr>
            <w:tcW w:w="197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贵州盘江电投售电有限公司</w:t>
            </w:r>
          </w:p>
        </w:tc>
        <w:tc>
          <w:tcPr>
            <w:tcW w:w="6169" w:type="dxa"/>
            <w:vAlign w:val="center"/>
          </w:tcPr>
          <w:p>
            <w:pPr>
              <w:keepNext w:val="0"/>
              <w:keepLines w:val="0"/>
              <w:pageBreakBefore w:val="0"/>
              <w:widowControl w:val="0"/>
              <w:tabs>
                <w:tab w:val="left" w:pos="1069"/>
              </w:tabs>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第二大条：独立储能（电网侧储能）交易方式：独立储能是指直接接入公用电网的新型储能项目（包括在发电企业、电力用户计量关口外并网），满足准入条件的，可作为独立主体参与市场交易。</w:t>
            </w:r>
            <w:r>
              <w:rPr>
                <w:rFonts w:hint="eastAsia" w:ascii="楷体" w:hAnsi="楷体" w:eastAsia="楷体" w:cs="楷体"/>
                <w:b/>
                <w:bCs/>
                <w:kern w:val="2"/>
                <w:sz w:val="21"/>
                <w:szCs w:val="24"/>
                <w:vertAlign w:val="baseline"/>
                <w:lang w:val="en-US" w:eastAsia="zh-CN" w:bidi="ar-SA"/>
              </w:rPr>
              <w:t>修改为</w:t>
            </w:r>
            <w:r>
              <w:rPr>
                <w:rFonts w:hint="eastAsia" w:ascii="楷体" w:hAnsi="楷体" w:eastAsia="楷体" w:cs="楷体"/>
                <w:kern w:val="2"/>
                <w:sz w:val="21"/>
                <w:szCs w:val="24"/>
                <w:vertAlign w:val="baseline"/>
                <w:lang w:val="en-US" w:eastAsia="zh-CN" w:bidi="ar-SA"/>
              </w:rPr>
              <w:t>：独立储能（电网侧储能）交易方式：独立储能是指直接接入公用电网的新型储能项目，有条件的允许接入发电企业计量关口内的母线上，电力用户须在计量关口外并网，满足准入条件的，可作为独立储能由电网企业直接调度。</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目前独立储能作为新兴投资建设项目，回报率、收益率难以测算，建议独立储能有条件的允许接入发电企业计量关口内的母线上，以增加独立储能调度的灵活性和可靠性，减少投资，又不影响调度。</w:t>
            </w: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4"/>
                <w:szCs w:val="32"/>
                <w:vertAlign w:val="baseline"/>
                <w:lang w:val="en-US" w:eastAsia="zh-CN" w:bidi="ar-SA"/>
              </w:rPr>
            </w:pPr>
            <w:r>
              <w:rPr>
                <w:rFonts w:hint="eastAsia" w:ascii="楷体" w:hAnsi="楷体" w:eastAsia="楷体" w:cs="楷体"/>
                <w:sz w:val="24"/>
                <w:szCs w:val="32"/>
                <w:vertAlign w:val="baseline"/>
                <w:lang w:val="en-US" w:eastAsia="zh-CN"/>
              </w:rPr>
              <w:t>不采纳</w:t>
            </w:r>
          </w:p>
        </w:tc>
        <w:tc>
          <w:tcPr>
            <w:tcW w:w="3748"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0" w:leftChars="0" w:firstLine="0" w:firstLineChars="0"/>
              <w:jc w:val="both"/>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sz w:val="21"/>
                <w:szCs w:val="24"/>
                <w:vertAlign w:val="baseline"/>
                <w:lang w:val="en-US" w:eastAsia="zh-CN"/>
              </w:rPr>
              <w:t>独立储能接入发电企业计量关口内，会造成电量结算无法准确区分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56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firstLine="0" w:firstLineChars="0"/>
              <w:jc w:val="center"/>
              <w:textAlignment w:val="auto"/>
            </w:pPr>
          </w:p>
        </w:tc>
        <w:tc>
          <w:tcPr>
            <w:tcW w:w="19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firstLine="0" w:firstLineChars="0"/>
              <w:jc w:val="center"/>
              <w:textAlignment w:val="auto"/>
            </w:pPr>
          </w:p>
        </w:tc>
        <w:tc>
          <w:tcPr>
            <w:tcW w:w="616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0" w:leftChars="0" w:firstLine="0" w:firstLineChars="0"/>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第二大条：独立储能（电网侧储能）交易方式。</w:t>
            </w:r>
            <w:r>
              <w:rPr>
                <w:rFonts w:hint="eastAsia" w:ascii="楷体" w:hAnsi="楷体" w:eastAsia="楷体" w:cs="楷体"/>
                <w:b/>
                <w:bCs/>
                <w:kern w:val="2"/>
                <w:sz w:val="21"/>
                <w:szCs w:val="24"/>
                <w:vertAlign w:val="baseline"/>
                <w:lang w:val="en-US" w:eastAsia="zh-CN" w:bidi="ar-SA"/>
              </w:rPr>
              <w:t>建议明确</w:t>
            </w:r>
            <w:r>
              <w:rPr>
                <w:rFonts w:hint="eastAsia" w:ascii="楷体" w:hAnsi="楷体" w:eastAsia="楷体" w:cs="楷体"/>
                <w:kern w:val="2"/>
                <w:sz w:val="21"/>
                <w:szCs w:val="24"/>
                <w:vertAlign w:val="baseline"/>
                <w:lang w:val="en-US" w:eastAsia="zh-CN" w:bidi="ar-SA"/>
              </w:rPr>
              <w:t>独立储能不参与中长期及现货交易。在放电执行峰段电价、充电时执行谷段电价。</w:t>
            </w:r>
          </w:p>
        </w:tc>
        <w:tc>
          <w:tcPr>
            <w:tcW w:w="24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0" w:leftChars="0" w:firstLine="0" w:firstLineChars="0"/>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储能不适宜参与中长期交易及现货交易，用户也不愿意只签峰段交易给独立储能。</w:t>
            </w:r>
          </w:p>
        </w:tc>
        <w:tc>
          <w:tcPr>
            <w:tcW w:w="66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0" w:leftChars="0" w:firstLine="0" w:firstLineChars="0"/>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不采纳</w:t>
            </w:r>
          </w:p>
        </w:tc>
        <w:tc>
          <w:tcPr>
            <w:tcW w:w="3748"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0" w:leftChars="0" w:firstLine="0" w:firstLineChars="0"/>
              <w:jc w:val="both"/>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独立储能不参与中长期及现货交易，即未进入市场，充放电执行什么价，由相关政策明确。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56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firstLine="0" w:firstLineChars="0"/>
              <w:jc w:val="center"/>
              <w:textAlignment w:val="auto"/>
              <w:rPr>
                <w:rFonts w:hint="eastAsia" w:ascii="楷体" w:hAnsi="楷体" w:eastAsia="楷体" w:cs="楷体"/>
                <w:kern w:val="2"/>
                <w:sz w:val="21"/>
                <w:szCs w:val="24"/>
                <w:vertAlign w:val="baseline"/>
                <w:lang w:val="en-US" w:eastAsia="zh-CN" w:bidi="ar-SA"/>
              </w:rPr>
            </w:pPr>
          </w:p>
        </w:tc>
        <w:tc>
          <w:tcPr>
            <w:tcW w:w="197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firstLine="0" w:firstLineChars="0"/>
              <w:jc w:val="center"/>
              <w:textAlignment w:val="auto"/>
              <w:rPr>
                <w:rFonts w:hint="eastAsia" w:ascii="楷体" w:hAnsi="楷体" w:eastAsia="楷体" w:cs="楷体"/>
                <w:kern w:val="2"/>
                <w:sz w:val="21"/>
                <w:szCs w:val="24"/>
                <w:vertAlign w:val="baseline"/>
                <w:lang w:val="en-US" w:eastAsia="zh-CN" w:bidi="ar-SA"/>
              </w:rPr>
            </w:pPr>
          </w:p>
        </w:tc>
        <w:tc>
          <w:tcPr>
            <w:tcW w:w="616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0" w:leftChars="0" w:firstLine="0" w:firstLineChars="0"/>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第二大条：独立储能（电网侧储能）交易方式，第六条：交易结算，独立储能向电网送电的，其相应充电电量不承担输配电价和政府性基金及附加。</w:t>
            </w:r>
            <w:r>
              <w:rPr>
                <w:rFonts w:hint="eastAsia" w:ascii="楷体" w:hAnsi="楷体" w:eastAsia="楷体" w:cs="楷体"/>
                <w:b/>
                <w:bCs/>
                <w:kern w:val="2"/>
                <w:sz w:val="21"/>
                <w:szCs w:val="24"/>
                <w:vertAlign w:val="baseline"/>
                <w:lang w:val="en-US" w:eastAsia="zh-CN" w:bidi="ar-SA"/>
              </w:rPr>
              <w:t>建议修改为</w:t>
            </w:r>
            <w:r>
              <w:rPr>
                <w:rFonts w:hint="eastAsia" w:ascii="楷体" w:hAnsi="楷体" w:eastAsia="楷体" w:cs="楷体"/>
                <w:kern w:val="2"/>
                <w:sz w:val="21"/>
                <w:szCs w:val="24"/>
                <w:vertAlign w:val="baseline"/>
                <w:lang w:val="en-US" w:eastAsia="zh-CN" w:bidi="ar-SA"/>
              </w:rPr>
              <w:t>：独立储能向电网送电的，其相应充电电量不承担输配电价、线损电价、政府性基金及附加和基本电费。</w:t>
            </w:r>
          </w:p>
        </w:tc>
        <w:tc>
          <w:tcPr>
            <w:tcW w:w="24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0" w:leftChars="0" w:firstLine="0" w:firstLineChars="0"/>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独立储能项目由于前期投资较大，结合黔发改价格〔2023〕359号文《省发展改革委关于第三监管周期贵州输配电价和销售电价有关事项的通知》文件，建议独立储能在不承担输配电价和政府性基金及附加的基础上。再减免线损电价和基本电费。</w:t>
            </w:r>
          </w:p>
        </w:tc>
        <w:tc>
          <w:tcPr>
            <w:tcW w:w="66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0" w:leftChars="0" w:firstLine="0" w:firstLineChars="0"/>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采纳</w:t>
            </w:r>
          </w:p>
        </w:tc>
        <w:tc>
          <w:tcPr>
            <w:tcW w:w="3748"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0" w:leftChars="0" w:firstLine="0" w:firstLineChars="0"/>
              <w:jc w:val="both"/>
              <w:textAlignment w:val="auto"/>
              <w:rPr>
                <w:rFonts w:hint="eastAsia" w:ascii="楷体" w:hAnsi="楷体" w:eastAsia="楷体" w:cs="楷体"/>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18</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国投贵州售电有限公司</w:t>
            </w:r>
          </w:p>
        </w:tc>
        <w:tc>
          <w:tcPr>
            <w:tcW w:w="6169" w:type="dxa"/>
            <w:vAlign w:val="center"/>
          </w:tcPr>
          <w:p>
            <w:pPr>
              <w:keepNext w:val="0"/>
              <w:keepLines w:val="0"/>
              <w:pageBreakBefore w:val="0"/>
              <w:widowControl w:val="0"/>
              <w:tabs>
                <w:tab w:val="left" w:pos="1069"/>
              </w:tabs>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4"/>
                <w:szCs w:val="32"/>
                <w:vertAlign w:val="baseline"/>
                <w:lang w:val="en-US" w:eastAsia="zh-CN" w:bidi="ar-SA"/>
              </w:rPr>
            </w:pPr>
          </w:p>
        </w:tc>
        <w:tc>
          <w:tcPr>
            <w:tcW w:w="3748"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0" w:leftChars="0" w:firstLine="0" w:firstLineChars="0"/>
              <w:jc w:val="both"/>
              <w:textAlignment w:val="auto"/>
              <w:rPr>
                <w:rFonts w:hint="eastAsia" w:ascii="楷体" w:hAnsi="楷体" w:eastAsia="楷体" w:cs="楷体"/>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19</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TCL配售电</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p>
        </w:tc>
        <w:tc>
          <w:tcPr>
            <w:tcW w:w="374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color w:val="auto"/>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20</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sz w:val="21"/>
                <w:szCs w:val="24"/>
                <w:vertAlign w:val="baseline"/>
                <w:lang w:val="en-US" w:eastAsia="zh-CN"/>
              </w:rPr>
              <w:t>大唐贵州能源营销有限公司</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4"/>
                <w:szCs w:val="32"/>
                <w:vertAlign w:val="baseline"/>
              </w:rPr>
            </w:pPr>
          </w:p>
        </w:tc>
        <w:tc>
          <w:tcPr>
            <w:tcW w:w="3748"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color w:val="auto"/>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21</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贵州华电乌江售电有限公司</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4"/>
                <w:szCs w:val="32"/>
                <w:vertAlign w:val="baseline"/>
              </w:rPr>
            </w:pPr>
          </w:p>
        </w:tc>
        <w:tc>
          <w:tcPr>
            <w:tcW w:w="3748"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color w:val="auto"/>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22</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贵州合创清源配售电有限公司</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4"/>
                <w:szCs w:val="32"/>
                <w:vertAlign w:val="baseline"/>
              </w:rPr>
            </w:pPr>
          </w:p>
        </w:tc>
        <w:tc>
          <w:tcPr>
            <w:tcW w:w="3748"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color w:val="auto"/>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23</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粤电贵州售电有限公司</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4"/>
                <w:szCs w:val="32"/>
                <w:vertAlign w:val="baseline"/>
              </w:rPr>
            </w:pPr>
          </w:p>
        </w:tc>
        <w:tc>
          <w:tcPr>
            <w:tcW w:w="3748"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24</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国能贵州售电有限公司</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4"/>
                <w:szCs w:val="32"/>
                <w:vertAlign w:val="baseline"/>
              </w:rPr>
            </w:pPr>
          </w:p>
        </w:tc>
        <w:tc>
          <w:tcPr>
            <w:tcW w:w="3748"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25</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黔南州都能售电有限公司</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4"/>
                <w:szCs w:val="32"/>
                <w:vertAlign w:val="baseline"/>
              </w:rPr>
            </w:pPr>
          </w:p>
        </w:tc>
        <w:tc>
          <w:tcPr>
            <w:tcW w:w="3748"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sz w:val="21"/>
                <w:szCs w:val="24"/>
                <w:vertAlign w:val="baseline"/>
                <w:lang w:val="en-US" w:eastAsia="zh-CN"/>
              </w:rPr>
              <w:t>26</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瓮安县成功磷化有限公司</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1"/>
                <w:szCs w:val="24"/>
                <w:vertAlign w:val="baseline"/>
                <w:lang w:val="en-US" w:eastAsia="zh-CN" w:bidi="ar-SA"/>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kern w:val="2"/>
                <w:sz w:val="24"/>
                <w:szCs w:val="32"/>
                <w:vertAlign w:val="baseline"/>
                <w:lang w:val="en-US" w:eastAsia="zh-CN" w:bidi="ar-SA"/>
              </w:rPr>
            </w:pPr>
          </w:p>
        </w:tc>
        <w:tc>
          <w:tcPr>
            <w:tcW w:w="3748"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ind w:left="0" w:leftChars="0" w:firstLine="0" w:firstLineChars="0"/>
              <w:jc w:val="both"/>
              <w:textAlignment w:val="auto"/>
              <w:rPr>
                <w:rFonts w:hint="eastAsia" w:ascii="楷体" w:hAnsi="楷体" w:eastAsia="楷体" w:cs="楷体"/>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27</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贵州惠水利达建材公司</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4"/>
                <w:szCs w:val="32"/>
                <w:vertAlign w:val="baseline"/>
              </w:rPr>
            </w:pPr>
          </w:p>
        </w:tc>
        <w:tc>
          <w:tcPr>
            <w:tcW w:w="3748"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28</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贵州省田宝米业有限公司</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4"/>
                <w:szCs w:val="32"/>
                <w:vertAlign w:val="baseline"/>
              </w:rPr>
            </w:pPr>
          </w:p>
        </w:tc>
        <w:tc>
          <w:tcPr>
            <w:tcW w:w="3748"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29</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贵州众一金彩矿业有限公司</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4"/>
                <w:szCs w:val="32"/>
                <w:vertAlign w:val="baseline"/>
              </w:rPr>
            </w:pPr>
          </w:p>
        </w:tc>
        <w:tc>
          <w:tcPr>
            <w:tcW w:w="3748"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30</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紫云县滇池水务有限公司</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4"/>
                <w:szCs w:val="32"/>
                <w:vertAlign w:val="baseline"/>
              </w:rPr>
            </w:pPr>
          </w:p>
        </w:tc>
        <w:tc>
          <w:tcPr>
            <w:tcW w:w="3748"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sz w:val="21"/>
                <w:szCs w:val="24"/>
                <w:vertAlign w:val="baseline"/>
                <w:lang w:val="en-US" w:eastAsia="zh-CN"/>
              </w:rPr>
            </w:pPr>
            <w:r>
              <w:rPr>
                <w:rFonts w:hint="eastAsia" w:ascii="楷体" w:hAnsi="楷体" w:eastAsia="楷体" w:cs="楷体"/>
                <w:sz w:val="21"/>
                <w:szCs w:val="24"/>
                <w:vertAlign w:val="baseline"/>
                <w:lang w:val="en-US" w:eastAsia="zh-CN"/>
              </w:rPr>
              <w:t>31</w:t>
            </w:r>
          </w:p>
        </w:tc>
        <w:tc>
          <w:tcPr>
            <w:tcW w:w="19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遵义凯发新泉污水处理公司</w:t>
            </w:r>
          </w:p>
        </w:tc>
        <w:tc>
          <w:tcPr>
            <w:tcW w:w="61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楷体" w:hAnsi="楷体" w:eastAsia="楷体" w:cs="楷体"/>
                <w:kern w:val="2"/>
                <w:sz w:val="21"/>
                <w:szCs w:val="24"/>
                <w:vertAlign w:val="baseline"/>
                <w:lang w:val="en-US" w:eastAsia="zh-CN" w:bidi="ar-SA"/>
              </w:rPr>
            </w:pPr>
            <w:r>
              <w:rPr>
                <w:rFonts w:hint="eastAsia" w:ascii="楷体" w:hAnsi="楷体" w:eastAsia="楷体" w:cs="楷体"/>
                <w:kern w:val="2"/>
                <w:sz w:val="21"/>
                <w:szCs w:val="24"/>
                <w:vertAlign w:val="baseline"/>
                <w:lang w:val="en-US" w:eastAsia="zh-CN" w:bidi="ar-SA"/>
              </w:rPr>
              <w:t>无意见</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1"/>
                <w:szCs w:val="24"/>
                <w:vertAlign w:val="baseline"/>
                <w:lang w:val="en-US" w:eastAsia="zh-CN"/>
              </w:rPr>
            </w:pPr>
          </w:p>
        </w:tc>
        <w:tc>
          <w:tcPr>
            <w:tcW w:w="66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sz w:val="24"/>
                <w:szCs w:val="32"/>
                <w:vertAlign w:val="baseline"/>
              </w:rPr>
            </w:pPr>
          </w:p>
        </w:tc>
        <w:tc>
          <w:tcPr>
            <w:tcW w:w="3748"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rPr>
                <w:rFonts w:hint="eastAsia" w:ascii="楷体" w:hAnsi="楷体" w:eastAsia="楷体" w:cs="楷体"/>
                <w:sz w:val="21"/>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highlight w:val="none"/>
          <w:lang w:val="en-US" w:eastAsia="zh-CN"/>
        </w:rPr>
      </w:pPr>
    </w:p>
    <w:p>
      <w:bookmarkStart w:id="0" w:name="_GoBack"/>
      <w:bookmarkEnd w:id="0"/>
    </w:p>
    <w:sectPr>
      <w:pgSz w:w="16838" w:h="11906" w:orient="landscape"/>
      <w:pgMar w:top="1587" w:right="2098" w:bottom="1474" w:left="198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22C172EC-D578-4D07-873A-CE33627C8B19}"/>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49319E04-7CB0-4F57-B5DA-74E3DAA0E7F7}"/>
  </w:font>
  <w:font w:name="楷体">
    <w:panose1 w:val="02010609060101010101"/>
    <w:charset w:val="86"/>
    <w:family w:val="auto"/>
    <w:pitch w:val="default"/>
    <w:sig w:usb0="800002BF" w:usb1="38CF7CFA" w:usb2="00000016" w:usb3="00000000" w:csb0="00040001" w:csb1="00000000"/>
    <w:embedRegular r:id="rId3" w:fontKey="{D2DF7FBA-8144-4B94-A69B-9CDE9597D367}"/>
  </w:font>
  <w:font w:name="仿宋_GB2312">
    <w:panose1 w:val="02010609030101010101"/>
    <w:charset w:val="86"/>
    <w:family w:val="auto"/>
    <w:pitch w:val="default"/>
    <w:sig w:usb0="00000001" w:usb1="080E0000" w:usb2="00000000" w:usb3="00000000" w:csb0="00040000" w:csb1="00000000"/>
    <w:embedRegular r:id="rId4" w:fontKey="{257E89E7-65F5-4626-A0A4-B433AB1BB00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lY2FiNjdjZGM5YWQ1MTkzMWNhNTY2ZDM1MjJhMDUifQ=="/>
  </w:docVars>
  <w:rsids>
    <w:rsidRoot w:val="15176DDC"/>
    <w:rsid w:val="15176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1"/>
    <w:pPr>
      <w:spacing w:before="43"/>
      <w:ind w:left="1100" w:hanging="420"/>
    </w:pPr>
    <w:rPr>
      <w:rFonts w:ascii="仿宋" w:hAnsi="仿宋" w:eastAsia="仿宋" w:cs="仿宋"/>
      <w:sz w:val="21"/>
      <w:szCs w:val="21"/>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无间隔1"/>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2023-08-18T02:34:00Z</dcterms:created>
  <dc:creator>Q</dc:creator>
  <cp:lastModifiedBy>Q</cp:lastModifiedBy>
  <dcterms:modified xsi:type="dcterms:W3CDTF">2023-08-18T02:35:00Z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084B6644EA6F44F3B110DEC542A38DBB_11</vt:lpwstr>
  </property>
</Properties>
</file>