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</w:p>
    <w:p>
      <w:pPr>
        <w:snapToGrid w:val="0"/>
        <w:spacing w:line="620" w:lineRule="exact"/>
        <w:jc w:val="center"/>
        <w:rPr>
          <w:rFonts w:hint="eastAsia" w:ascii="小标宋" w:hAnsi="仿宋" w:eastAsia="小标宋" w:cs="仿宋_GB2312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  <w:lang w:val="en-US" w:eastAsia="zh-CN"/>
        </w:rPr>
        <w:t>高炉无水炮泥总包技术标准及扣罚条款</w:t>
      </w:r>
    </w:p>
    <w:p>
      <w:pPr>
        <w:snapToGrid w:val="0"/>
        <w:spacing w:line="360" w:lineRule="exact"/>
        <w:rPr>
          <w:rFonts w:hint="eastAsia" w:ascii="小标宋" w:hAnsi="仿宋" w:eastAsia="小标宋" w:cs="仿宋_GB2312"/>
          <w:b/>
          <w:sz w:val="44"/>
          <w:szCs w:val="44"/>
        </w:rPr>
      </w:pPr>
    </w:p>
    <w:p>
      <w:pPr>
        <w:widowControl/>
        <w:tabs>
          <w:tab w:val="right" w:pos="8306"/>
        </w:tabs>
        <w:spacing w:line="540" w:lineRule="exact"/>
        <w:ind w:firstLine="643" w:firstLineChars="200"/>
        <w:rPr>
          <w:rFonts w:hint="eastAsia"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一、450m</w:t>
      </w:r>
      <w:r>
        <w:rPr>
          <w:rFonts w:hint="eastAsia" w:ascii="仿宋" w:hAnsi="仿宋" w:eastAsia="仿宋" w:cs="仿宋_GB2312"/>
          <w:b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高炉无水炮泥总包技术质量标准及扣罚条款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湘东炼铁厂3号高炉、安源炼铁厂1号高炉、2号高炉、3号高炉：无水炮泥的质量必须满足低品位矿，高冶强冶炼的要求,在炉前操作正常情况下，要具有快速烧结、强度好的性能。不能因炮泥质量造成铁口难开、铁口垮塌、铁口浅（深度低于1.6m），扣罚500元/炉次。</w:t>
      </w:r>
    </w:p>
    <w:p>
      <w:pPr>
        <w:widowControl/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湘东炼铁厂1号高炉、4号高炉：高炉无水炮泥的质量必须满足低品位矿，高冶强冶炼的要求,在炉前操作正常情况下，要具有快速烧结、强度好的性能。不能因炮泥质量造成铁口难开、铁口垮塌，扣罚500元/炉次。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（二）因炮泥质量影响铁口维护，造成高炉减风堵口或自动烧穿，扣罚10000元/次。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（三）炮泥在满足生产工艺需求的前提下，必须满足环保要求。因炮泥质量问题，在炉前操作正常情况下，造成开铁口期间大量黑烟喷溅，扣罚5000元/次。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（四）其它与炮泥质量相关，不能满足生产工艺需求的情况扣罚4000元/次。由于炮泥质量问题，造成重大事故的按事故分析会结果进行扣罚。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（五）出现以上问题，供应商必须及时到现场进行指导，需方明确责任后，根据扣罚条款对相关方进行扣罚。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（六）所供材料必须保证不能断档，每影响1次，扣罚5万元。日常维护用的有水炮泥由供应商自行解决。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（七）出铁过程抗渣铁侵蚀、抗冲刷性能良好。月平均每炉出铁时间≥50分钟”，月平均每炉出铁时间≥50分钟不予扣款（统计数据四舍五入取整数）；45分钟≤月平均出铁时间＜50分钟，扣供方1000元/分钟；40分钟≤月平均出铁时间＜45分钟，扣供方2000元/分钟；月平均出铁时间＜40分钟，扣供方3000元/分钟；如一周内出铁时间＜40分钟的炉次≥60%，并在后续10天内平均出铁时间没有达到≥45分钟的情况下，需方有权采购其他能够满足生产的无水炮泥，所产生的差价由供方承担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（八）湘东炼铁厂1号高炉、4号高炉：铁口深度≥1.6米为合格，月度统计铁口深度合格率以95%为基准（统计数据四舍五入取整数）。合格率≥95%不予扣款；90%≤合格率＜95%，每低1%扣供方1000元；70%≤合格率＜90%，每低1%扣供方1500元；合格率＜70%，每低1%扣供方2000元；如一周内铁口深度＜1.6米的炉次≥60%，并在后续10天内铁口深度合格率没有达到≥70%的情况下，需方有权采购其他能够满足生产的无水炮泥，所产生的差价由供方承担。</w:t>
      </w:r>
    </w:p>
    <w:p>
      <w:pPr>
        <w:widowControl/>
        <w:spacing w:line="540" w:lineRule="exact"/>
        <w:ind w:firstLine="643" w:firstLineChars="200"/>
        <w:rPr>
          <w:rFonts w:hint="eastAsia"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二、1080m</w:t>
      </w:r>
      <w:r>
        <w:rPr>
          <w:rFonts w:hint="eastAsia" w:ascii="仿宋" w:hAnsi="仿宋" w:eastAsia="仿宋" w:cs="仿宋_GB2312"/>
          <w:b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高炉无水炮泥总包技术质量标准及扣罚条款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高炉无水炮泥的质量必须满足低品位矿，高冶强冶炼的要求,在炉前操作正常情况下，要具有快速烧结、强度好的性能。不能因炮泥质量造成铁口难开、铁口垮塌，扣罚500元/炉次。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（二）因炮泥质量影响铁口维护，造成高炉减风堵口或自动烧穿，扣罚10000元/次。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（三）炮泥在满足生产工艺需求的前提下，必须满足环保要求。因炮泥质量问题，在炉前操作正常情况下，造成开铁口期间大量黑烟喷溅，扣罚5000元/次。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（四）其它与炮泥质量相关，不能满足生产工艺需求的情况扣罚4000元/次。由于炮泥质量问题，造成重大事故的按事故分析会结果进行扣罚。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（五）出现以上问题，供应商必须及时到现场进行指导，需方明确责任后，根据扣罚条款对相关方进行扣罚。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（六）所供材料必须保证不能断档，每影响1次，扣罚5万元。日常维护用的有水炮泥由供应商自行解决。</w:t>
      </w:r>
    </w:p>
    <w:p>
      <w:pPr>
        <w:widowControl/>
        <w:spacing w:line="54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（七）出铁过程抗渣铁侵蚀、抗冲刷性能良好。月平均每炉出铁时间≥60分钟不予扣款（统计数据四舍五入取整数）；55分钟≤月平均出铁时间＜60分钟，扣供方2000元/分钟；45分钟≤月平均出铁时间＜55分钟，扣供方3000元/分钟；月平均出铁时间＜45分钟，扣供方4000元/分钟；如一周内出铁时间＜45分钟的炉次≥60%，并在后续10天内平均出铁时间没有达到≥55分钟的情况下，需方有权采购其他能够满足生产的无水炮泥，所产生的差价由供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（八）铁口深度≥2.5米为合格，月度统计铁口深度合格率以95%为基准（统计数据四舍五入取整数）。合格率≥95%不予扣款；90%≤合格率＜95%，每低1%扣供方1000元；70%≤合格率＜90%，每低1%扣供方2000元；合格率＜70%，每低1%扣供方4000元；如一周内铁口深度＜2.5米的炉次≥60%，并在后续10天内铁口深度合格率没有达到≥70%的情况下，需方有权采购其他能够满足生产的无水炮泥，所产生的差价由供方承担。</w:t>
      </w:r>
    </w:p>
    <w:p>
      <w:bookmarkStart w:id="0" w:name="_GoBack"/>
      <w:bookmarkEnd w:id="0"/>
    </w:p>
    <w:sectPr>
      <w:footerReference r:id="rId3" w:type="default"/>
      <w:pgSz w:w="11906" w:h="16838"/>
      <w:pgMar w:top="1247" w:right="1474" w:bottom="124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706F22"/>
    <w:multiLevelType w:val="singleLevel"/>
    <w:tmpl w:val="F0706F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6AE228A"/>
    <w:rsid w:val="11CC653F"/>
    <w:rsid w:val="141E3891"/>
    <w:rsid w:val="1A3A6914"/>
    <w:rsid w:val="3B2666A6"/>
    <w:rsid w:val="56F05D5B"/>
    <w:rsid w:val="59AE1051"/>
    <w:rsid w:val="5A556541"/>
    <w:rsid w:val="60DE647B"/>
    <w:rsid w:val="71443991"/>
    <w:rsid w:val="76A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2024-03-15T08:59:00Z</dcterms:created>
  <dc:creator>即缘故份</dc:creator>
  <cp:lastModifiedBy>即缘故份</cp:lastModifiedBy>
  <dcterms:modified xsi:type="dcterms:W3CDTF">2024-03-15T09:01:42Z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115580DC0FAE44658D75B34F58D33120_13</vt:lpwstr>
  </property>
</Properties>
</file>