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智能集中润滑系统采购招标技术要求</w:t>
      </w:r>
    </w:p>
    <w:p>
      <w:pPr>
        <w:jc w:val="right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（业务编号：ZB/SC2024-NG072）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一、主要目的：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为了保证轧辊轴承及导卫轴承良好润滑及经济性，确保轧辊及导卫使用寿命。</w:t>
      </w:r>
    </w:p>
    <w:p>
      <w:pPr>
        <w:spacing w:line="48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二、技术要求: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（一）监控在线轧辊轴承润滑点共计178个监控故障、润滑状态（具体数量见下表）。</w:t>
      </w:r>
    </w:p>
    <w:tbl>
      <w:tblPr>
        <w:tblStyle w:val="7"/>
        <w:tblW w:w="67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00"/>
        <w:gridCol w:w="1520"/>
        <w:gridCol w:w="2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生产线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区域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润滑点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监测、润滑点数量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棒线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粗轧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5套轧机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2套导卫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中轧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8套轧机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2套导卫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高线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粗轧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6套轧机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2套导卫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中轧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8套轧机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2套导卫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棒材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粗轧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6套轧机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3套导卫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中轧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5套轧机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2套导卫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</w:t>
            </w:r>
          </w:p>
        </w:tc>
      </w:tr>
    </w:tbl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二）单个润滑点每次给油量可调、给油时间及间隔时间可调（在电脑程序中可单独对每组点的润滑油量、打油周期、打油时间进行设定，然后在每个自动打油中根据每组点油量、周期、时间的不同设定进行打油）。                  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（三）可编程控制器主控与扩展模块，具备无线远程手机查看（不具体操作）、电脑连接监控功能。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（四）供货方负责智能集中润滑系统安装、调试、使用维护培训，提供所有备件的型号清单及标准图纸。</w:t>
      </w:r>
    </w:p>
    <w:p>
      <w:pPr>
        <w:spacing w:line="48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三、性能参数：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智能控制电动润滑泵装置六套（三条线的粗轧和中轧各一套),每套润滑泵公称压力：40MPa；最大工作压力：40MPa；最小工作压力：10MPa；公称流量：430mL/min。                   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（一）每套智能润滑装置含两台带智能控制的润滑泵（一用一备）、带补脂阀组补脂泵一台。给油430mL/min，公称压力40MPa，储脂容量100L，电压：380V。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（二）流量传感器：公称压力：40MPa，工作电压DC24V。每点给油次数、每点给油时间、给油间隔时间可调。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（三）压力传感器：带数显，带模拟输出4-20mA，工作电压DC24V。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（四）控制系统：PLC采用西门子可编程控制器（程序不允许加密），10寸液晶触摸屏，带无线发射装置。监控系统主机6台（主机配置满足智能干油系统正常使用）。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（五）电控柜带报警装置，含各点检测元件，可实时监控各润滑点供油状态。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（六）含润滑泵站内配套连接管路及附件。</w:t>
      </w:r>
    </w:p>
    <w:p>
      <w:pPr>
        <w:spacing w:line="48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四、给油器集成箱                                                   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（一）公称压力：40MPa，电压：DC220V。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（二）通讯方式：485总线通讯；计量精度：1.5ml。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（三）适用介质：复合磺酸钙基润滑脂（轧辊轴承润滑脂）1＃～3＃。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（五）给油方式：采用电动多路选择阀切换给油。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五、输油管线规格：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（一）流体输送用管路，主管304不锈钢Ф32×3（壁厚公差±0.3mm），支管304不锈钢Ф10×1.5（壁厚公差±0.3mm）。                                                                                                         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（二）主管插入焊接式、支管焊接连接，管接头材质不锈钢、主管路管夹采用镀锌底板塑料管夹固定，支管管夹采用铁管夹进行固定，</w:t>
      </w:r>
      <w:r>
        <w:rPr>
          <w:rFonts w:hint="eastAsia" w:ascii="仿宋_GB2312" w:hAnsi="仿宋" w:eastAsia="仿宋_GB2312" w:cs="仿宋"/>
          <w:sz w:val="32"/>
          <w:szCs w:val="32"/>
          <w:lang w:val="zh-CN"/>
        </w:rPr>
        <w:t>轴承座润滑点连接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采用高压胶管连接。                                                                 </w:t>
      </w:r>
    </w:p>
    <w:p>
      <w:pPr>
        <w:spacing w:line="48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（三）连接电缆采用双绞屏蔽电缆，现场需加装镀锌管作为防护套管使用。                                               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（四）系统含上位机6台（电脑具备远程监控）。                                              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（五）润滑点软管需进行弹性固定，防止软管磨损。</w:t>
      </w:r>
    </w:p>
    <w:tbl>
      <w:tblPr>
        <w:tblStyle w:val="7"/>
        <w:tblW w:w="935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513"/>
        <w:gridCol w:w="2025"/>
        <w:gridCol w:w="1417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3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智能集中润滑系统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公称压力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40MPa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最大工作压力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35MPa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最小工作压力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 MPa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公称流量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430mL/min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总润滑点数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178点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共采用6套系统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每点每次给油量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可调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根据现场用油量调整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每点给油时间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可调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1-9999/min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给油间隔时间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可调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1-9999/min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管线规格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Φ32×3±0.3mm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材质304不锈钢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支管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Φ10×1.5±0.3mm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材质304不锈钢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管接头型式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焊接式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润滑点连接形式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支管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快速接头连接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三相四线380V-50Hz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3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系统主要元件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电动高压泵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1套配置2台高压油泵（一用一备）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电动加油泵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辅助润滑泵补脂工作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给油器集成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阀式给油器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监控系统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监控系统主机2台（21.5"液晶屏）</w:t>
            </w:r>
          </w:p>
        </w:tc>
      </w:tr>
    </w:tbl>
    <w:p>
      <w:pPr>
        <w:spacing w:line="480" w:lineRule="exact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六、资料交付：产品质量合格证书。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七、需方提供电源到供方指定位置。</w:t>
      </w:r>
    </w:p>
    <w:p>
      <w:pPr>
        <w:widowControl/>
        <w:shd w:val="clear" w:color="auto"/>
        <w:spacing w:line="15" w:lineRule="atLeas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八、其他：如果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智能集中润滑系统在使用</w:t>
      </w:r>
      <w:r>
        <w:rPr>
          <w:rFonts w:hint="eastAsia" w:ascii="仿宋_GB2312" w:hAnsi="仿宋" w:eastAsia="仿宋_GB2312" w:cs="仿宋"/>
          <w:sz w:val="32"/>
          <w:szCs w:val="32"/>
        </w:rPr>
        <w:t>出现问题需供方指导，供方在接到通知后48小时内到现场到现场指导。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5f3c7d92-68aa-4ae0-a2df-a9a13543e06e"/>
  </w:docVars>
  <w:rsids>
    <w:rsidRoot w:val="2F9716FB"/>
    <w:rsid w:val="0DFC68EA"/>
    <w:rsid w:val="2F9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1176"/>
      </w:tabs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Body Text First Indent"/>
    <w:basedOn w:val="4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2228</Words>
  <Characters>2600</Characters>
  <Lines>0</Lines>
  <Paragraphs>0</Paragraphs>
  <TotalTime>0</TotalTime>
  <ScaleCrop>false</ScaleCrop>
  <LinksUpToDate>false</LinksUpToDate>
  <CharactersWithSpaces>2634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2024-03-27T08:34:00Z</dcterms:created>
  <dc:creator>即缘故份</dc:creator>
  <cp:lastModifiedBy>即缘故份</cp:lastModifiedBy>
  <dcterms:modified xsi:type="dcterms:W3CDTF">2024-03-27T08:46:17Z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E739361C74E645A08049FBFFA9E7901C_13</vt:lpwstr>
  </property>
</Properties>
</file>