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b/>
          <w:sz w:val="32"/>
        </w:rPr>
      </w:pPr>
      <w:bookmarkStart w:id="0" w:name="_GoBack"/>
      <w:bookmarkEnd w:id="0"/>
      <w:r>
        <w:rPr>
          <w:rFonts w:hint="eastAsia" w:ascii="方正仿宋简体" w:eastAsia="方正仿宋简体"/>
          <w:b/>
          <w:sz w:val="32"/>
        </w:rPr>
        <w:t>附</w:t>
      </w:r>
      <w:r>
        <w:rPr>
          <w:rFonts w:ascii="Times New Roman" w:hAnsi="Times New Roman" w:eastAsia="方正仿宋简体" w:cs="Times New Roman"/>
          <w:b/>
          <w:sz w:val="32"/>
        </w:rPr>
        <w:t>件</w:t>
      </w:r>
      <w:r>
        <w:rPr>
          <w:rFonts w:ascii="Times New Roman" w:hAnsi="Times New Roman" w:eastAsia="方正仿宋简体" w:cs="Times New Roman"/>
          <w:sz w:val="32"/>
        </w:rPr>
        <w:t>1</w:t>
      </w:r>
    </w:p>
    <w:p>
      <w:pPr>
        <w:jc w:val="center"/>
        <w:rPr>
          <w:rFonts w:ascii="方正大标宋简体" w:eastAsia="方正大标宋简体"/>
          <w:szCs w:val="21"/>
        </w:rPr>
      </w:pPr>
      <w:r>
        <w:rPr>
          <w:rFonts w:hint="eastAsia" w:ascii="方正大标宋简体" w:eastAsia="方正大标宋简体"/>
          <w:sz w:val="42"/>
          <w:szCs w:val="42"/>
        </w:rPr>
        <w:t>《上海期货交易所铅期货</w:t>
      </w:r>
      <w:r>
        <w:rPr>
          <w:rFonts w:ascii="方正大标宋简体" w:eastAsia="方正大标宋简体"/>
          <w:sz w:val="42"/>
          <w:szCs w:val="42"/>
        </w:rPr>
        <w:t>合约</w:t>
      </w:r>
      <w:r>
        <w:rPr>
          <w:rFonts w:hint="eastAsia" w:ascii="方正大标宋简体" w:eastAsia="方正大标宋简体"/>
          <w:sz w:val="42"/>
          <w:szCs w:val="42"/>
        </w:rPr>
        <w:t>》修订对照表</w:t>
      </w:r>
    </w:p>
    <w:p>
      <w:pPr>
        <w:ind w:firstLine="280" w:firstLineChars="100"/>
        <w:rPr>
          <w:rFonts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z w:val="28"/>
          <w:szCs w:val="28"/>
        </w:rPr>
        <w:t>注：标红加粗部分为新增内容，删除线部分为删除的内容。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5103"/>
        <w:gridCol w:w="184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  <w:gridSpan w:val="2"/>
            <w:shd w:val="clear" w:color="auto" w:fill="5B9BD5" w:themeFill="accent1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修订版</w:t>
            </w:r>
          </w:p>
        </w:tc>
        <w:tc>
          <w:tcPr>
            <w:tcW w:w="7088" w:type="dxa"/>
            <w:gridSpan w:val="2"/>
            <w:shd w:val="clear" w:color="auto" w:fill="5B9BD5" w:themeFill="accent1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现行版本（</w:t>
            </w:r>
            <w:r>
              <w:rPr>
                <w:rFonts w:ascii="Times New Roman" w:hAnsi="Times New Roman" w:eastAsia="微软雅黑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2023年1月17日发布，4月2日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生效）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交割品级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标准品：铅锭，符合国标</w:t>
            </w:r>
            <w:r>
              <w:rPr>
                <w:rFonts w:ascii="Times New Roman" w:hAnsi="Times New Roman" w:eastAsia="方正仿宋简体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GB/T 469-2013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28"/>
                <w:szCs w:val="28"/>
              </w:rPr>
              <w:t>GB/T 469-2023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Pb99.994规定，</w:t>
            </w:r>
            <w:r>
              <w:rPr>
                <w:rFonts w:ascii="Times New Roman" w:hAnsi="Times New Roman" w:eastAsia="方正仿宋简体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其中铅含量不低于99.994%</w:t>
            </w:r>
            <w:r>
              <w:rPr>
                <w:rFonts w:hint="eastAsia" w:ascii="Times New Roman" w:hAnsi="Times New Roman" w:eastAsia="方正仿宋简体" w:cs="Times New Roman"/>
                <w:b/>
                <w:color w:val="FF0000"/>
                <w:kern w:val="0"/>
                <w:sz w:val="28"/>
                <w:szCs w:val="28"/>
              </w:rPr>
              <w:t>或者符合国标GB/T469-2023 Pb99.996规定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方正仿宋简体" w:eastAsia="方正仿宋简体"/>
                <w:b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b/>
                <w:sz w:val="28"/>
                <w:szCs w:val="28"/>
              </w:rPr>
              <w:t>交割品级</w:t>
            </w:r>
          </w:p>
        </w:tc>
        <w:tc>
          <w:tcPr>
            <w:tcW w:w="5245" w:type="dxa"/>
            <w:vAlign w:val="center"/>
          </w:tcPr>
          <w:p>
            <w:pPr>
              <w:spacing w:line="560" w:lineRule="exact"/>
              <w:jc w:val="lef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标准品：铅锭，符合国标GB/T 469-2013 Pb99.994规定，其中铅含量不小于99.994%</w:t>
            </w:r>
            <w:r>
              <w:rPr>
                <w:rFonts w:hint="eastAsia" w:ascii="方正仿宋简体" w:eastAsia="方正仿宋简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29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仿宋" w:eastAsia="方正仿宋简体" w:cs="Arial"/>
                <w:b/>
                <w:bCs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  <w:t>上海期货交易所铅期货合约附件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  <w:gridSpan w:val="2"/>
          </w:tcPr>
          <w:p>
            <w:pPr>
              <w:widowControl/>
              <w:shd w:val="clear" w:color="auto" w:fill="FFFFFF"/>
              <w:spacing w:line="560" w:lineRule="exact"/>
              <w:ind w:firstLine="562" w:firstLineChars="200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二、质量规定</w:t>
            </w:r>
          </w:p>
          <w:p>
            <w:pPr>
              <w:widowControl/>
              <w:shd w:val="clear" w:color="auto" w:fill="FFFFFF"/>
              <w:spacing w:line="560" w:lineRule="exact"/>
              <w:ind w:firstLine="560" w:firstLineChars="200"/>
              <w:jc w:val="left"/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用于本合约实物交割的铅锭，必须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符合国标</w:t>
            </w:r>
            <w:r>
              <w:rPr>
                <w:rFonts w:ascii="Times New Roman" w:hAnsi="Times New Roman" w:eastAsia="仿宋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GB/T 469-2013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28"/>
                <w:szCs w:val="28"/>
              </w:rPr>
              <w:t>GB/T 469-2023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Pb99.994规定，</w:t>
            </w:r>
            <w:r>
              <w:rPr>
                <w:rFonts w:ascii="Times New Roman" w:hAnsi="Times New Roman" w:eastAsia="仿宋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其中铅含量不低于99.994%</w:t>
            </w:r>
            <w:r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28"/>
                <w:szCs w:val="28"/>
              </w:rPr>
              <w:t>或者符合国标GB/T469-2023 Pb99.996规定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2、外型及块重。交割的铅应为锭，国产铅的每锭重量为48kg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3kg、42kg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2kg、</w:t>
            </w:r>
            <w:r>
              <w:rPr>
                <w:rFonts w:ascii="Times New Roman" w:hAnsi="Times New Roman" w:eastAsia="仿宋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40kg</w:t>
            </w:r>
            <w:r>
              <w:rPr>
                <w:rFonts w:hint="eastAsia" w:ascii="方正仿宋简体" w:hAnsi="Times New Roman" w:eastAsia="方正仿宋简体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仿宋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2kg、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1kg。</w:t>
            </w:r>
          </w:p>
        </w:tc>
        <w:tc>
          <w:tcPr>
            <w:tcW w:w="7088" w:type="dxa"/>
            <w:gridSpan w:val="2"/>
          </w:tcPr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212121"/>
                <w:sz w:val="28"/>
                <w:szCs w:val="28"/>
                <w:shd w:val="clear" w:color="auto" w:fill="FFFFFF"/>
              </w:rPr>
              <w:t>二、质量规定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1、用于本合约实物交割的铅锭，必须符合国标GB/T 469-2013 Pb99.994规定，其中铅含量不小于99.994%。 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2、外型及块重。交割的铅应为锭，国产铅的每锭重量为48kg</w:t>
            </w: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3kg、42kg</w:t>
            </w: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2kg、40kg</w:t>
            </w: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2kg、24kg</w:t>
            </w: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1kg。</w:t>
            </w:r>
          </w:p>
        </w:tc>
      </w:tr>
    </w:tbl>
    <w:p>
      <w:pPr>
        <w:widowControl/>
        <w:spacing w:line="360" w:lineRule="auto"/>
        <w:jc w:val="center"/>
        <w:rPr>
          <w:rFonts w:ascii="方正仿宋简体" w:hAnsi="仿宋" w:eastAsia="方正仿宋简体" w:cs="Arial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ascii="方正大标宋简体" w:eastAsia="方正大标宋简体"/>
          <w:szCs w:val="21"/>
        </w:rPr>
      </w:pPr>
      <w:r>
        <w:rPr>
          <w:rFonts w:hint="eastAsia" w:ascii="方正大标宋简体" w:eastAsia="方正大标宋简体"/>
          <w:sz w:val="42"/>
          <w:szCs w:val="42"/>
        </w:rPr>
        <w:t>《上海期货交易所交割细则》修订对照表</w:t>
      </w:r>
    </w:p>
    <w:p>
      <w:pPr>
        <w:ind w:firstLine="280" w:firstLineChars="100"/>
        <w:rPr>
          <w:rFonts w:ascii="方正楷体简体" w:eastAsia="方正楷体简体"/>
          <w:sz w:val="28"/>
          <w:szCs w:val="28"/>
        </w:rPr>
      </w:pPr>
      <w:r>
        <w:rPr>
          <w:rFonts w:hint="eastAsia" w:ascii="方正楷体简体" w:eastAsia="方正楷体简体"/>
          <w:sz w:val="28"/>
          <w:szCs w:val="28"/>
        </w:rPr>
        <w:t>注：标红加粗部分为新增内容，删除线部分为删除的内容。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1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  <w:shd w:val="clear" w:color="auto" w:fill="5B9BD5" w:themeFill="accent1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修订版</w:t>
            </w:r>
          </w:p>
        </w:tc>
        <w:tc>
          <w:tcPr>
            <w:tcW w:w="7088" w:type="dxa"/>
            <w:shd w:val="clear" w:color="auto" w:fill="5B9BD5" w:themeFill="accent1"/>
          </w:tcPr>
          <w:p>
            <w:pPr>
              <w:spacing w:line="560" w:lineRule="exact"/>
              <w:jc w:val="center"/>
              <w:rPr>
                <w:rFonts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现</w:t>
            </w:r>
            <w:r>
              <w:rPr>
                <w:rFonts w:ascii="Times New Roman" w:hAnsi="Times New Roman" w:eastAsia="微软雅黑" w:cs="Times New Roman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行版本（2023年10月18日生效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</w:tcPr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第四十三条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交割商品的包装 </w:t>
            </w:r>
          </w:p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一）每一交割单位的铅锭必须是同一生产企业生产、同一注册商标、同一质量品级、同一块形、同一包装数量（捆重近似）的商品组成。注册生产企业自行选定注册产品捆重，但要利于组手，每捆包装应用相应强度且不易锈蚀的包装带捆扎包装，具体要求由交易所另行公告。捆扎应当坚固，同时标有醒目的、不易脱落的产品标识，注明生产厂名称、产品名称、牌号、批号、净重和生产日期。 </w:t>
            </w:r>
          </w:p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（二）到库商品中，遇有包装带断裂的捆件及散块商品，应当重新组合，用规定的包装带捆扎紧固，方可用于交割。包装费用由货主承担。 </w:t>
            </w:r>
          </w:p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仿宋" w:hAnsi="仿宋" w:eastAsia="仿宋" w:cs="Arial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（三）国产铅的每锭重量可为48kg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3kg、42kg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2kg、</w:t>
            </w:r>
            <w:r>
              <w:rPr>
                <w:rFonts w:ascii="Times New Roman" w:hAnsi="Times New Roman" w:eastAsia="方正仿宋简体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40kg</w:t>
            </w:r>
            <w:r>
              <w:rPr>
                <w:rFonts w:hint="eastAsia" w:ascii="方正仿宋简体" w:hAnsi="Times New Roman" w:eastAsia="方正仿宋简体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dstrike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2kg、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24kg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1kg。</w:t>
            </w:r>
          </w:p>
        </w:tc>
        <w:tc>
          <w:tcPr>
            <w:tcW w:w="7088" w:type="dxa"/>
          </w:tcPr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第四十三条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交割商品的包装 </w:t>
            </w:r>
          </w:p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一）每一交割单位的铅锭必须是同一生产企业生产、同一注册商标、同一质量品级、同一块形、同一包装数量（捆重近似）的商品组成。注册生产企业自行选定注册产品捆重，但要利于组手，每捆包装应用相应强度且不易锈蚀的包装带捆扎包装，具体要求由交易所另行公告。捆扎应当坚固，同时标有醒目的、不易脱落的产品标识，注明生产厂名称、产品名称、牌号、批号、净重和生产日期。 </w:t>
            </w:r>
          </w:p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（二）到库商品中，遇有包装带断裂的捆件及散块商品，应当重新组合，用规定的包装带捆扎紧固，方可用于交割。包装费用由货主承担。 </w:t>
            </w:r>
          </w:p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（三）国产铅的每锭重量可为48kg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3kg、42kg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2kg、40kg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2kg、24kg</w:t>
            </w:r>
            <w:r>
              <w:rPr>
                <w:rFonts w:hint="eastAsia" w:ascii="方正仿宋简体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±</w:t>
            </w:r>
            <w:r>
              <w:rPr>
                <w:rFonts w:ascii="Times New Roman" w:hAnsi="Times New Roman" w:eastAsia="方正仿宋简体" w:cs="Times New Roman"/>
                <w:color w:val="000000" w:themeColor="text1"/>
                <w:kern w:val="0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1kg。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1" w:type="dxa"/>
          </w:tcPr>
          <w:p>
            <w:pPr>
              <w:widowControl/>
              <w:shd w:val="clear" w:color="auto" w:fill="FFFFFF"/>
              <w:spacing w:line="560" w:lineRule="exact"/>
              <w:ind w:firstLine="420"/>
              <w:jc w:val="left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第</w:t>
            </w:r>
            <w:r>
              <w:rPr>
                <w:rFonts w:hint="eastAsia" w:eastAsia="方正仿宋简体"/>
                <w:b/>
                <w:color w:val="000000"/>
                <w:kern w:val="0"/>
                <w:sz w:val="30"/>
                <w:szCs w:val="30"/>
              </w:rPr>
              <w:t>一百八十三</w:t>
            </w:r>
            <w:r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条</w:t>
            </w: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 xml:space="preserve"> 本细则自</w:t>
            </w:r>
            <w:r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30"/>
                <w:szCs w:val="30"/>
              </w:rPr>
              <w:t>2024</w:t>
            </w:r>
            <w:r>
              <w:rPr>
                <w:rFonts w:ascii="Times New Roman" w:hAnsi="Times New Roman" w:eastAsia="方正仿宋简体" w:cs="Times New Roman"/>
                <w:dstrike/>
                <w:color w:val="000000"/>
                <w:kern w:val="0"/>
                <w:sz w:val="30"/>
                <w:szCs w:val="30"/>
              </w:rPr>
              <w:t>2023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30"/>
                <w:szCs w:val="30"/>
              </w:rPr>
              <w:t>4</w:t>
            </w:r>
            <w:r>
              <w:rPr>
                <w:rFonts w:ascii="Times New Roman" w:hAnsi="Times New Roman" w:eastAsia="方正仿宋简体" w:cs="Times New Roman"/>
                <w:dstrike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color w:val="FF0000"/>
                <w:kern w:val="0"/>
                <w:sz w:val="30"/>
                <w:szCs w:val="30"/>
              </w:rPr>
              <w:t>12</w:t>
            </w:r>
            <w:r>
              <w:rPr>
                <w:rFonts w:ascii="Times New Roman" w:hAnsi="Times New Roman" w:eastAsia="方正仿宋简体" w:cs="Times New Roman"/>
                <w:dstrike/>
                <w:color w:val="000000"/>
                <w:kern w:val="0"/>
                <w:sz w:val="30"/>
                <w:szCs w:val="30"/>
              </w:rPr>
              <w:t>18</w:t>
            </w:r>
            <w:r>
              <w:rPr>
                <w:rFonts w:hint="eastAsia" w:eastAsia="方正仿宋简体"/>
                <w:color w:val="000000"/>
                <w:kern w:val="0"/>
                <w:sz w:val="30"/>
                <w:szCs w:val="30"/>
              </w:rPr>
              <w:t>日起</w:t>
            </w:r>
            <w:r>
              <w:rPr>
                <w:rFonts w:eastAsia="方正仿宋简体"/>
                <w:color w:val="000000"/>
                <w:kern w:val="0"/>
                <w:sz w:val="30"/>
                <w:szCs w:val="30"/>
              </w:rPr>
              <w:t>实施。</w:t>
            </w:r>
          </w:p>
        </w:tc>
        <w:tc>
          <w:tcPr>
            <w:tcW w:w="7088" w:type="dxa"/>
          </w:tcPr>
          <w:p>
            <w:pPr>
              <w:adjustRightInd w:val="0"/>
              <w:spacing w:line="560" w:lineRule="exact"/>
              <w:ind w:firstLine="601"/>
              <w:rPr>
                <w:rFonts w:ascii="Times New Roman" w:hAnsi="Times New Roman" w:eastAsia="方正仿宋简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30"/>
                <w:szCs w:val="30"/>
              </w:rPr>
              <w:t>第一百八十三条</w:t>
            </w: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0"/>
                <w:szCs w:val="30"/>
              </w:rPr>
              <w:t xml:space="preserve"> 本细则自2023年10月18日起实施。</w:t>
            </w:r>
          </w:p>
        </w:tc>
      </w:tr>
    </w:tbl>
    <w:p/>
    <w:p>
      <w:pPr>
        <w:spacing w:line="560" w:lineRule="exact"/>
        <w:jc w:val="right"/>
        <w:rPr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80937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F"/>
    <w:rsid w:val="0019000D"/>
    <w:rsid w:val="00F627DF"/>
    <w:rsid w:val="4DD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AFFB-9B8E-48D0-BE53-42FA3F30A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199</Words>
  <Characters>1135</Characters>
  <Lines>9</Lines>
  <Paragraphs>2</Paragraphs>
  <TotalTime>1</TotalTime>
  <ScaleCrop>false</ScaleCrop>
  <LinksUpToDate>false</LinksUpToDate>
  <CharactersWithSpaces>1332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2024-04-12T08:24:00Z</dcterms:created>
  <dc:creator>shfe</dc:creator>
  <cp:lastModifiedBy>沈一冰</cp:lastModifiedBy>
  <dcterms:modified xsi:type="dcterms:W3CDTF">2024-04-13T01:39:58Z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12197570CF2541BEBEF4D89E35C32156_13</vt:lpwstr>
  </property>
</Properties>
</file>