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134"/>
          <w:tab w:val="left" w:pos="5481"/>
          <w:tab w:val="left" w:pos="5859"/>
        </w:tabs>
        <w:spacing w:line="240" w:lineRule="auto"/>
        <w:ind w:firstLine="0" w:firstLineChars="0"/>
        <w:jc w:val="center"/>
        <w:rPr>
          <w:rFonts w:hint="eastAsia" w:ascii="Times New Roman" w:hAnsi="Times New Roman" w:eastAsia="华文中宋" w:cs="Times New Roman"/>
          <w:b/>
          <w:color w:val="000000"/>
          <w:sz w:val="52"/>
          <w:szCs w:val="24"/>
          <w:lang w:eastAsia="zh-CN"/>
        </w:rPr>
      </w:pPr>
      <w:bookmarkStart w:id="27" w:name="_GoBack"/>
      <w:bookmarkEnd w:id="27"/>
    </w:p>
    <w:p>
      <w:pPr>
        <w:tabs>
          <w:tab w:val="left" w:pos="1134"/>
          <w:tab w:val="left" w:pos="5481"/>
          <w:tab w:val="left" w:pos="5859"/>
        </w:tabs>
        <w:spacing w:line="240" w:lineRule="auto"/>
        <w:ind w:firstLine="0" w:firstLineChars="0"/>
        <w:jc w:val="center"/>
        <w:rPr>
          <w:rFonts w:ascii="Times New Roman" w:hAnsi="Times New Roman" w:eastAsia="华文中宋" w:cs="Times New Roman"/>
          <w:b/>
          <w:color w:val="000000"/>
          <w:sz w:val="52"/>
          <w:szCs w:val="24"/>
        </w:rPr>
      </w:pPr>
    </w:p>
    <w:p>
      <w:pPr>
        <w:tabs>
          <w:tab w:val="left" w:pos="1134"/>
          <w:tab w:val="left" w:pos="5481"/>
          <w:tab w:val="left" w:pos="5859"/>
        </w:tabs>
        <w:spacing w:line="240" w:lineRule="auto"/>
        <w:ind w:firstLine="0" w:firstLineChars="0"/>
        <w:jc w:val="center"/>
        <w:rPr>
          <w:rFonts w:ascii="Times New Roman" w:hAnsi="Times New Roman" w:eastAsia="华文中宋" w:cs="Times New Roman"/>
          <w:b/>
          <w:color w:val="000000"/>
          <w:sz w:val="52"/>
          <w:szCs w:val="24"/>
        </w:rPr>
      </w:pPr>
    </w:p>
    <w:p>
      <w:pPr>
        <w:spacing w:line="240" w:lineRule="auto"/>
        <w:ind w:firstLine="0" w:firstLineChars="0"/>
        <w:jc w:val="center"/>
        <w:rPr>
          <w:rFonts w:ascii="黑体" w:hAnsi="黑体" w:eastAsia="黑体" w:cs="Times New Roman"/>
          <w:b/>
          <w:color w:val="000000"/>
          <w:sz w:val="84"/>
          <w:szCs w:val="84"/>
        </w:rPr>
      </w:pPr>
      <w:r>
        <w:rPr>
          <w:rFonts w:hint="eastAsia" w:ascii="黑体" w:hAnsi="黑体" w:eastAsia="黑体" w:cs="Times New Roman"/>
          <w:b/>
          <w:color w:val="000000"/>
          <w:sz w:val="84"/>
          <w:szCs w:val="84"/>
        </w:rPr>
        <w:t>拍卖文件</w:t>
      </w:r>
    </w:p>
    <w:p>
      <w:pPr>
        <w:tabs>
          <w:tab w:val="left" w:pos="1134"/>
          <w:tab w:val="left" w:pos="5481"/>
          <w:tab w:val="left" w:pos="5859"/>
        </w:tabs>
        <w:spacing w:line="240" w:lineRule="auto"/>
        <w:ind w:firstLine="0" w:firstLineChars="0"/>
        <w:jc w:val="center"/>
        <w:rPr>
          <w:rFonts w:ascii="Times New Roman" w:hAnsi="Times New Roman" w:eastAsia="黑体" w:cs="Times New Roman"/>
          <w:b/>
          <w:color w:val="000000"/>
          <w:szCs w:val="24"/>
        </w:rPr>
      </w:pPr>
    </w:p>
    <w:p>
      <w:pPr>
        <w:tabs>
          <w:tab w:val="left" w:pos="1134"/>
          <w:tab w:val="left" w:pos="5481"/>
          <w:tab w:val="left" w:pos="5859"/>
        </w:tabs>
        <w:spacing w:line="240" w:lineRule="auto"/>
        <w:ind w:firstLine="0" w:firstLineChars="0"/>
        <w:jc w:val="center"/>
        <w:rPr>
          <w:rFonts w:ascii="Times New Roman" w:hAnsi="Times New Roman" w:eastAsia="黑体" w:cs="Times New Roman"/>
          <w:b/>
          <w:color w:val="000000"/>
          <w:szCs w:val="24"/>
        </w:rPr>
      </w:pPr>
    </w:p>
    <w:p>
      <w:pPr>
        <w:tabs>
          <w:tab w:val="left" w:pos="1134"/>
          <w:tab w:val="left" w:pos="5481"/>
          <w:tab w:val="left" w:pos="5859"/>
        </w:tabs>
        <w:spacing w:line="240" w:lineRule="auto"/>
        <w:ind w:firstLine="0" w:firstLineChars="0"/>
        <w:jc w:val="center"/>
        <w:rPr>
          <w:rFonts w:ascii="华文中宋" w:hAnsi="华文中宋" w:eastAsia="华文中宋" w:cs="华文中宋"/>
          <w:b/>
          <w:color w:val="000000"/>
          <w:szCs w:val="24"/>
        </w:rPr>
      </w:pPr>
    </w:p>
    <w:p>
      <w:pPr>
        <w:tabs>
          <w:tab w:val="left" w:pos="1134"/>
          <w:tab w:val="left" w:pos="5481"/>
          <w:tab w:val="left" w:pos="5859"/>
        </w:tabs>
        <w:spacing w:line="240" w:lineRule="auto"/>
        <w:ind w:firstLine="0" w:firstLineChars="0"/>
        <w:jc w:val="center"/>
        <w:rPr>
          <w:rFonts w:ascii="Times New Roman" w:hAnsi="Times New Roman" w:eastAsia="黑体" w:cs="Times New Roman"/>
          <w:b/>
          <w:color w:val="000000"/>
          <w:szCs w:val="24"/>
        </w:rPr>
      </w:pPr>
    </w:p>
    <w:p>
      <w:pPr>
        <w:tabs>
          <w:tab w:val="left" w:pos="1134"/>
          <w:tab w:val="left" w:pos="5481"/>
          <w:tab w:val="left" w:pos="5859"/>
        </w:tabs>
        <w:spacing w:line="240" w:lineRule="auto"/>
        <w:ind w:firstLine="0" w:firstLineChars="0"/>
        <w:jc w:val="center"/>
        <w:rPr>
          <w:rFonts w:ascii="Times New Roman" w:hAnsi="Times New Roman" w:eastAsia="黑体" w:cs="Times New Roman"/>
          <w:b/>
          <w:color w:val="000000"/>
          <w:szCs w:val="24"/>
        </w:rPr>
      </w:pPr>
    </w:p>
    <w:p>
      <w:pPr>
        <w:tabs>
          <w:tab w:val="left" w:pos="1134"/>
          <w:tab w:val="left" w:pos="5481"/>
          <w:tab w:val="left" w:pos="5859"/>
        </w:tabs>
        <w:spacing w:line="240" w:lineRule="auto"/>
        <w:ind w:firstLine="0" w:firstLineChars="0"/>
        <w:jc w:val="center"/>
        <w:rPr>
          <w:rFonts w:ascii="Times New Roman" w:hAnsi="Times New Roman" w:eastAsia="黑体" w:cs="Times New Roman"/>
          <w:b/>
          <w:color w:val="000000"/>
          <w:szCs w:val="24"/>
        </w:rPr>
      </w:pPr>
    </w:p>
    <w:p>
      <w:pPr>
        <w:spacing w:line="360" w:lineRule="auto"/>
        <w:ind w:firstLine="1419" w:firstLineChars="471"/>
        <w:jc w:val="left"/>
        <w:rPr>
          <w:rFonts w:ascii="Times New Roman" w:hAnsi="Times New Roman" w:eastAsia="宋体" w:cs="Times New Roman"/>
          <w:b/>
          <w:sz w:val="30"/>
          <w:szCs w:val="24"/>
          <w:u w:val="single"/>
        </w:rPr>
      </w:pPr>
      <w:r>
        <w:rPr>
          <w:rFonts w:hint="eastAsia" w:ascii="Times New Roman" w:hAnsi="Times New Roman" w:eastAsia="宋体" w:cs="Times New Roman"/>
          <w:b/>
          <w:sz w:val="30"/>
          <w:szCs w:val="24"/>
        </w:rPr>
        <w:t>项目编号：</w:t>
      </w:r>
      <w:bookmarkStart w:id="0" w:name="_Hlk167348214"/>
      <w:r>
        <w:rPr>
          <w:rFonts w:ascii="Times New Roman" w:hAnsi="Times New Roman" w:eastAsia="宋体" w:cs="Times New Roman"/>
          <w:b/>
          <w:sz w:val="30"/>
          <w:szCs w:val="24"/>
        </w:rPr>
        <w:t>SWZC3700002024</w:t>
      </w:r>
      <w:bookmarkEnd w:id="0"/>
      <w:r>
        <w:rPr>
          <w:rFonts w:hint="eastAsia" w:ascii="Times New Roman" w:hAnsi="Times New Roman" w:eastAsia="宋体" w:cs="Times New Roman"/>
          <w:b/>
          <w:sz w:val="30"/>
          <w:szCs w:val="24"/>
        </w:rPr>
        <w:t>105</w:t>
      </w:r>
    </w:p>
    <w:p>
      <w:pPr>
        <w:spacing w:line="240" w:lineRule="auto"/>
        <w:ind w:firstLine="1419" w:firstLineChars="471"/>
        <w:jc w:val="left"/>
        <w:rPr>
          <w:rFonts w:ascii="Times New Roman" w:hAnsi="Times New Roman" w:eastAsia="宋体" w:cs="Times New Roman"/>
          <w:b/>
          <w:color w:val="000000"/>
          <w:sz w:val="30"/>
          <w:szCs w:val="24"/>
        </w:rPr>
      </w:pPr>
      <w:r>
        <w:rPr>
          <w:rFonts w:hint="eastAsia" w:ascii="Times New Roman" w:hAnsi="Times New Roman" w:eastAsia="宋体" w:cs="Times New Roman"/>
          <w:b/>
          <w:color w:val="000000"/>
          <w:sz w:val="30"/>
          <w:szCs w:val="24"/>
        </w:rPr>
        <w:t>项目名称：</w:t>
      </w:r>
      <w:bookmarkStart w:id="1" w:name="_Hlk167362279"/>
      <w:r>
        <w:rPr>
          <w:rFonts w:hint="eastAsia" w:ascii="Times New Roman" w:hAnsi="Times New Roman" w:eastAsia="宋体" w:cs="Times New Roman"/>
          <w:b/>
          <w:color w:val="000000"/>
          <w:sz w:val="30"/>
          <w:szCs w:val="24"/>
        </w:rPr>
        <w:t>滨州海警局查扣</w:t>
      </w:r>
      <w:bookmarkEnd w:id="1"/>
      <w:r>
        <w:rPr>
          <w:rFonts w:hint="eastAsia" w:ascii="Times New Roman" w:hAnsi="Times New Roman" w:eastAsia="宋体" w:cs="Times New Roman"/>
          <w:b/>
          <w:color w:val="000000"/>
          <w:sz w:val="30"/>
          <w:szCs w:val="24"/>
        </w:rPr>
        <w:t>锌锭、再生铅锑合金（铅制品）</w:t>
      </w:r>
    </w:p>
    <w:p>
      <w:pPr>
        <w:spacing w:line="240" w:lineRule="auto"/>
        <w:ind w:firstLine="2979" w:firstLineChars="989"/>
        <w:jc w:val="left"/>
        <w:rPr>
          <w:rFonts w:ascii="Times New Roman" w:hAnsi="Times New Roman" w:eastAsia="宋体" w:cs="Times New Roman"/>
          <w:b/>
          <w:color w:val="000000"/>
          <w:sz w:val="30"/>
          <w:szCs w:val="24"/>
        </w:rPr>
      </w:pPr>
      <w:r>
        <w:rPr>
          <w:rFonts w:hint="eastAsia" w:ascii="Times New Roman" w:hAnsi="Times New Roman" w:eastAsia="宋体" w:cs="Times New Roman"/>
          <w:b/>
          <w:color w:val="000000"/>
          <w:sz w:val="30"/>
          <w:szCs w:val="24"/>
        </w:rPr>
        <w:t>及铅精矿（粉）各一宗公开拍卖</w:t>
      </w:r>
    </w:p>
    <w:p>
      <w:pPr>
        <w:spacing w:line="240" w:lineRule="auto"/>
        <w:ind w:firstLine="0" w:firstLineChars="0"/>
        <w:rPr>
          <w:rFonts w:ascii="Times New Roman" w:hAnsi="Times New Roman" w:eastAsia="宋体" w:cs="Times New Roman"/>
          <w:b/>
          <w:color w:val="000000"/>
          <w:sz w:val="30"/>
          <w:szCs w:val="24"/>
        </w:rPr>
      </w:pPr>
    </w:p>
    <w:p>
      <w:pPr>
        <w:spacing w:line="240" w:lineRule="auto"/>
        <w:ind w:firstLine="0" w:firstLineChars="0"/>
        <w:rPr>
          <w:rFonts w:ascii="Times New Roman" w:hAnsi="Times New Roman" w:eastAsia="宋体" w:cs="Times New Roman"/>
          <w:b/>
          <w:color w:val="000000"/>
          <w:sz w:val="30"/>
          <w:szCs w:val="24"/>
        </w:rPr>
      </w:pPr>
    </w:p>
    <w:p>
      <w:pPr>
        <w:spacing w:line="240" w:lineRule="auto"/>
        <w:ind w:firstLine="0" w:firstLineChars="0"/>
        <w:rPr>
          <w:rFonts w:ascii="Times New Roman" w:hAnsi="Times New Roman" w:eastAsia="宋体" w:cs="Times New Roman"/>
          <w:b/>
          <w:color w:val="000000"/>
          <w:sz w:val="30"/>
          <w:szCs w:val="24"/>
        </w:rPr>
      </w:pPr>
    </w:p>
    <w:p>
      <w:pPr>
        <w:spacing w:line="240" w:lineRule="auto"/>
        <w:ind w:firstLine="0" w:firstLineChars="0"/>
        <w:rPr>
          <w:rFonts w:ascii="Times New Roman" w:hAnsi="Times New Roman" w:eastAsia="宋体" w:cs="Times New Roman"/>
          <w:b/>
          <w:color w:val="000000"/>
          <w:sz w:val="30"/>
          <w:szCs w:val="24"/>
        </w:rPr>
      </w:pPr>
    </w:p>
    <w:p>
      <w:pPr>
        <w:spacing w:line="240" w:lineRule="auto"/>
        <w:ind w:firstLine="0" w:firstLineChars="0"/>
        <w:rPr>
          <w:rFonts w:ascii="Times New Roman" w:hAnsi="Times New Roman" w:eastAsia="宋体" w:cs="Times New Roman"/>
          <w:b/>
          <w:color w:val="000000"/>
          <w:sz w:val="30"/>
          <w:szCs w:val="24"/>
        </w:rPr>
      </w:pPr>
    </w:p>
    <w:p>
      <w:pPr>
        <w:spacing w:line="240" w:lineRule="auto"/>
        <w:ind w:firstLine="0" w:firstLineChars="0"/>
        <w:jc w:val="center"/>
        <w:rPr>
          <w:rFonts w:ascii="Times New Roman" w:hAnsi="Times New Roman" w:eastAsia="宋体" w:cs="Times New Roman"/>
          <w:b/>
          <w:color w:val="000000"/>
          <w:kern w:val="0"/>
          <w:sz w:val="36"/>
          <w:szCs w:val="20"/>
        </w:rPr>
      </w:pPr>
      <w:r>
        <w:rPr>
          <w:rFonts w:hint="eastAsia" w:ascii="Times New Roman" w:hAnsi="Times New Roman" w:eastAsia="宋体" w:cs="Times New Roman"/>
          <w:b/>
          <w:color w:val="000000"/>
          <w:kern w:val="0"/>
          <w:sz w:val="36"/>
          <w:szCs w:val="20"/>
        </w:rPr>
        <w:t>山东功致拍卖有限公司</w:t>
      </w:r>
    </w:p>
    <w:p>
      <w:pPr>
        <w:spacing w:line="240" w:lineRule="auto"/>
        <w:ind w:firstLine="0" w:firstLineChars="0"/>
        <w:jc w:val="center"/>
        <w:rPr>
          <w:rFonts w:ascii="Times New Roman" w:hAnsi="Times New Roman" w:eastAsia="宋体" w:cs="Times New Roman"/>
          <w:b/>
          <w:color w:val="000000"/>
          <w:sz w:val="30"/>
          <w:szCs w:val="24"/>
        </w:rPr>
      </w:pPr>
      <w:r>
        <w:rPr>
          <w:rFonts w:hint="eastAsia" w:ascii="Times New Roman" w:hAnsi="Times New Roman" w:eastAsia="宋体" w:cs="Times New Roman"/>
          <w:b/>
          <w:color w:val="000000"/>
          <w:szCs w:val="24"/>
        </w:rPr>
        <w:t>二○二四年六月</w:t>
      </w:r>
    </w:p>
    <w:p>
      <w:pPr>
        <w:spacing w:line="240" w:lineRule="auto"/>
        <w:ind w:firstLine="0" w:firstLineChars="0"/>
        <w:rPr>
          <w:rFonts w:ascii="Times New Roman" w:hAnsi="Times New Roman" w:eastAsia="黑体" w:cs="Times New Roman"/>
          <w:b/>
          <w:color w:val="000000"/>
          <w:sz w:val="36"/>
          <w:szCs w:val="24"/>
        </w:rPr>
        <w:sectPr>
          <w:headerReference r:id="rId7" w:type="first"/>
          <w:footerReference r:id="rId10" w:type="first"/>
          <w:headerReference r:id="rId5" w:type="default"/>
          <w:footerReference r:id="rId8" w:type="default"/>
          <w:headerReference r:id="rId6" w:type="even"/>
          <w:footerReference r:id="rId9" w:type="even"/>
          <w:pgSz w:w="11906" w:h="16838"/>
          <w:pgMar w:top="1134" w:right="1021" w:bottom="680" w:left="1021" w:header="737" w:footer="567" w:gutter="0"/>
          <w:pgNumType w:start="1"/>
          <w:cols w:space="720" w:num="1"/>
          <w:docGrid w:type="lines" w:linePitch="312" w:charSpace="0"/>
        </w:sectPr>
      </w:pPr>
    </w:p>
    <w:p>
      <w:pPr>
        <w:spacing w:line="240" w:lineRule="auto"/>
        <w:ind w:firstLine="0" w:firstLineChars="0"/>
        <w:rPr>
          <w:rFonts w:ascii="Times New Roman" w:hAnsi="Times New Roman" w:eastAsia="黑体" w:cs="Times New Roman"/>
          <w:b/>
          <w:color w:val="000000"/>
          <w:sz w:val="36"/>
          <w:szCs w:val="24"/>
        </w:rPr>
      </w:pPr>
    </w:p>
    <w:sdt>
      <w:sdtPr>
        <w:rPr>
          <w:rFonts w:ascii="方正楷体_GB2312" w:hAnsi="等线" w:eastAsia="方正楷体_GB2312" w:cs="宋体"/>
          <w:color w:val="auto"/>
          <w:kern w:val="2"/>
          <w:szCs w:val="21"/>
          <w:lang w:val="zh-CN"/>
        </w:rPr>
        <w:id w:val="1138919648"/>
        <w:docPartObj>
          <w:docPartGallery w:val="Table of Contents"/>
          <w:docPartUnique/>
        </w:docPartObj>
      </w:sdtPr>
      <w:sdtEndPr>
        <w:rPr>
          <w:rFonts w:cs="宋体" w:asciiTheme="minorEastAsia" w:hAnsiTheme="minorEastAsia" w:eastAsiaTheme="minorEastAsia"/>
          <w:color w:val="auto"/>
          <w:kern w:val="2"/>
          <w:sz w:val="24"/>
          <w:szCs w:val="24"/>
          <w:lang w:val="zh-CN"/>
        </w:rPr>
      </w:sdtEndPr>
      <w:sdtContent>
        <w:p>
          <w:pPr>
            <w:pStyle w:val="28"/>
            <w:ind w:firstLine="640"/>
            <w:jc w:val="center"/>
          </w:pPr>
          <w:r>
            <w:rPr>
              <w:lang w:val="zh-CN"/>
            </w:rPr>
            <w:t>目录</w:t>
          </w:r>
        </w:p>
        <w:p>
          <w:pPr>
            <w:pStyle w:val="12"/>
            <w:tabs>
              <w:tab w:val="right" w:leader="dot" w:pos="9854"/>
            </w:tabs>
            <w:ind w:firstLine="424" w:firstLineChars="177"/>
            <w:rPr>
              <w:rFonts w:eastAsiaTheme="minorEastAsia" w:cstheme="minorBidi"/>
              <w:b w:val="0"/>
              <w:bCs w:val="0"/>
              <w:caps w:val="0"/>
              <w:sz w:val="21"/>
              <w:szCs w:val="22"/>
              <w14:ligatures w14:val="standardContextual"/>
            </w:rPr>
          </w:pPr>
          <w:r>
            <w:rPr>
              <w:rFonts w:ascii="宋体" w:hAnsi="宋体" w:eastAsia="宋体"/>
              <w:b w:val="0"/>
              <w:bCs w:val="0"/>
              <w:caps w:val="0"/>
              <w:sz w:val="24"/>
              <w:szCs w:val="24"/>
            </w:rPr>
            <w:fldChar w:fldCharType="begin"/>
          </w:r>
          <w:r>
            <w:rPr>
              <w:rFonts w:ascii="宋体" w:hAnsi="宋体" w:eastAsia="宋体"/>
              <w:b w:val="0"/>
              <w:bCs w:val="0"/>
              <w:caps w:val="0"/>
              <w:sz w:val="24"/>
              <w:szCs w:val="24"/>
            </w:rPr>
            <w:instrText xml:space="preserve"> TOC \o "1-3" \h \z \u </w:instrText>
          </w:r>
          <w:r>
            <w:rPr>
              <w:rFonts w:ascii="宋体" w:hAnsi="宋体" w:eastAsia="宋体"/>
              <w:b w:val="0"/>
              <w:bCs w:val="0"/>
              <w:caps w:val="0"/>
              <w:sz w:val="24"/>
              <w:szCs w:val="24"/>
            </w:rPr>
            <w:fldChar w:fldCharType="separate"/>
          </w:r>
          <w:r>
            <w:fldChar w:fldCharType="begin"/>
          </w:r>
          <w:r>
            <w:instrText xml:space="preserve"> HYPERLINK \l "_Toc167291574" </w:instrText>
          </w:r>
          <w:r>
            <w:fldChar w:fldCharType="separate"/>
          </w:r>
          <w:r>
            <w:rPr>
              <w:rStyle w:val="22"/>
              <w:rFonts w:ascii="Times New Roman" w:hAnsi="Times New Roman" w:eastAsia="宋体" w:cs="Times New Roman"/>
              <w:kern w:val="44"/>
            </w:rPr>
            <w:t>第一部分  总则</w:t>
          </w:r>
          <w:r>
            <w:tab/>
          </w:r>
          <w:r>
            <w:fldChar w:fldCharType="begin"/>
          </w:r>
          <w:r>
            <w:instrText xml:space="preserve"> PAGEREF _Toc167291574 \h </w:instrText>
          </w:r>
          <w:r>
            <w:fldChar w:fldCharType="separate"/>
          </w:r>
          <w:r>
            <w:t>2</w:t>
          </w:r>
          <w:r>
            <w:fldChar w:fldCharType="end"/>
          </w:r>
          <w:r>
            <w:fldChar w:fldCharType="end"/>
          </w:r>
        </w:p>
        <w:p>
          <w:pPr>
            <w:pStyle w:val="12"/>
            <w:tabs>
              <w:tab w:val="right" w:leader="dot" w:pos="9854"/>
            </w:tabs>
            <w:ind w:firstLine="402"/>
            <w:rPr>
              <w:rFonts w:ascii="宋体" w:hAnsi="宋体" w:eastAsia="宋体" w:cstheme="minorBidi"/>
              <w:b w:val="0"/>
              <w:bCs w:val="0"/>
              <w:caps w:val="0"/>
              <w:sz w:val="21"/>
              <w:szCs w:val="21"/>
              <w14:ligatures w14:val="standardContextual"/>
            </w:rPr>
          </w:pPr>
          <w:r>
            <w:fldChar w:fldCharType="begin"/>
          </w:r>
          <w:r>
            <w:instrText xml:space="preserve"> HYPERLINK \l "_Toc167291575" </w:instrText>
          </w:r>
          <w:r>
            <w:fldChar w:fldCharType="separate"/>
          </w:r>
          <w:r>
            <w:rPr>
              <w:rStyle w:val="22"/>
              <w:rFonts w:ascii="宋体" w:hAnsi="宋体" w:eastAsia="宋体" w:cs="Times New Roman"/>
              <w:kern w:val="44"/>
              <w:sz w:val="21"/>
              <w:szCs w:val="21"/>
            </w:rPr>
            <w:t>第二部分  拍卖邀请书</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_Toc167291575 \h </w:instrText>
          </w:r>
          <w:r>
            <w:rPr>
              <w:rFonts w:ascii="宋体" w:hAnsi="宋体" w:eastAsia="宋体"/>
              <w:sz w:val="21"/>
              <w:szCs w:val="21"/>
            </w:rPr>
            <w:fldChar w:fldCharType="separate"/>
          </w:r>
          <w:r>
            <w:rPr>
              <w:rFonts w:ascii="宋体" w:hAnsi="宋体" w:eastAsia="宋体"/>
              <w:sz w:val="21"/>
              <w:szCs w:val="21"/>
            </w:rPr>
            <w:t>3</w:t>
          </w:r>
          <w:r>
            <w:rPr>
              <w:rFonts w:ascii="宋体" w:hAnsi="宋体" w:eastAsia="宋体"/>
              <w:sz w:val="21"/>
              <w:szCs w:val="21"/>
            </w:rPr>
            <w:fldChar w:fldCharType="end"/>
          </w:r>
          <w:r>
            <w:rPr>
              <w:rFonts w:ascii="宋体" w:hAnsi="宋体" w:eastAsia="宋体"/>
              <w:sz w:val="21"/>
              <w:szCs w:val="21"/>
            </w:rPr>
            <w:fldChar w:fldCharType="end"/>
          </w:r>
        </w:p>
        <w:p>
          <w:pPr>
            <w:pStyle w:val="12"/>
            <w:tabs>
              <w:tab w:val="right" w:leader="dot" w:pos="9854"/>
            </w:tabs>
            <w:ind w:firstLine="402"/>
            <w:rPr>
              <w:rFonts w:ascii="宋体" w:hAnsi="宋体" w:eastAsia="宋体" w:cstheme="minorBidi"/>
              <w:b w:val="0"/>
              <w:bCs w:val="0"/>
              <w:caps w:val="0"/>
              <w:sz w:val="21"/>
              <w:szCs w:val="21"/>
              <w14:ligatures w14:val="standardContextual"/>
            </w:rPr>
          </w:pPr>
          <w:r>
            <w:fldChar w:fldCharType="begin"/>
          </w:r>
          <w:r>
            <w:instrText xml:space="preserve"> HYPERLINK \l "_Toc167291576" </w:instrText>
          </w:r>
          <w:r>
            <w:fldChar w:fldCharType="separate"/>
          </w:r>
          <w:r>
            <w:rPr>
              <w:rStyle w:val="22"/>
              <w:rFonts w:ascii="宋体" w:hAnsi="宋体" w:eastAsia="宋体" w:cs="Times New Roman"/>
              <w:kern w:val="44"/>
              <w:sz w:val="21"/>
              <w:szCs w:val="21"/>
            </w:rPr>
            <w:t>第三部分  竞买人须知</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_Toc167291576 \h </w:instrText>
          </w:r>
          <w:r>
            <w:rPr>
              <w:rFonts w:ascii="宋体" w:hAnsi="宋体" w:eastAsia="宋体"/>
              <w:sz w:val="21"/>
              <w:szCs w:val="21"/>
            </w:rPr>
            <w:fldChar w:fldCharType="separate"/>
          </w:r>
          <w:r>
            <w:rPr>
              <w:rFonts w:ascii="宋体" w:hAnsi="宋体" w:eastAsia="宋体"/>
              <w:sz w:val="21"/>
              <w:szCs w:val="21"/>
            </w:rPr>
            <w:t>4</w:t>
          </w:r>
          <w:r>
            <w:rPr>
              <w:rFonts w:ascii="宋体" w:hAnsi="宋体" w:eastAsia="宋体"/>
              <w:sz w:val="21"/>
              <w:szCs w:val="21"/>
            </w:rPr>
            <w:fldChar w:fldCharType="end"/>
          </w:r>
          <w:r>
            <w:rPr>
              <w:rFonts w:ascii="宋体" w:hAnsi="宋体" w:eastAsia="宋体"/>
              <w:sz w:val="21"/>
              <w:szCs w:val="21"/>
            </w:rPr>
            <w:fldChar w:fldCharType="end"/>
          </w:r>
        </w:p>
        <w:p>
          <w:pPr>
            <w:pStyle w:val="12"/>
            <w:tabs>
              <w:tab w:val="right" w:leader="dot" w:pos="9854"/>
            </w:tabs>
            <w:ind w:firstLine="402"/>
            <w:rPr>
              <w:rFonts w:ascii="宋体" w:hAnsi="宋体" w:eastAsia="宋体" w:cstheme="minorBidi"/>
              <w:b w:val="0"/>
              <w:bCs w:val="0"/>
              <w:caps w:val="0"/>
              <w:sz w:val="21"/>
              <w:szCs w:val="21"/>
              <w14:ligatures w14:val="standardContextual"/>
            </w:rPr>
          </w:pPr>
          <w:r>
            <w:fldChar w:fldCharType="begin"/>
          </w:r>
          <w:r>
            <w:instrText xml:space="preserve"> HYPERLINK \l "_Toc167291577" </w:instrText>
          </w:r>
          <w:r>
            <w:fldChar w:fldCharType="separate"/>
          </w:r>
          <w:r>
            <w:rPr>
              <w:rStyle w:val="22"/>
              <w:rFonts w:ascii="宋体" w:hAnsi="宋体" w:eastAsia="宋体" w:cs="Times New Roman"/>
              <w:kern w:val="44"/>
              <w:sz w:val="21"/>
              <w:szCs w:val="21"/>
            </w:rPr>
            <w:t>第四部分  项目基本情况</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_Toc167291577 \h </w:instrText>
          </w:r>
          <w:r>
            <w:rPr>
              <w:rFonts w:ascii="宋体" w:hAnsi="宋体" w:eastAsia="宋体"/>
              <w:sz w:val="21"/>
              <w:szCs w:val="21"/>
            </w:rPr>
            <w:fldChar w:fldCharType="separate"/>
          </w:r>
          <w:r>
            <w:rPr>
              <w:rFonts w:ascii="宋体" w:hAnsi="宋体" w:eastAsia="宋体"/>
              <w:sz w:val="21"/>
              <w:szCs w:val="21"/>
            </w:rPr>
            <w:t>7</w:t>
          </w:r>
          <w:r>
            <w:rPr>
              <w:rFonts w:ascii="宋体" w:hAnsi="宋体" w:eastAsia="宋体"/>
              <w:sz w:val="21"/>
              <w:szCs w:val="21"/>
            </w:rPr>
            <w:fldChar w:fldCharType="end"/>
          </w:r>
          <w:r>
            <w:rPr>
              <w:rFonts w:ascii="宋体" w:hAnsi="宋体" w:eastAsia="宋体"/>
              <w:sz w:val="21"/>
              <w:szCs w:val="21"/>
            </w:rPr>
            <w:fldChar w:fldCharType="end"/>
          </w:r>
        </w:p>
        <w:p>
          <w:pPr>
            <w:pStyle w:val="12"/>
            <w:tabs>
              <w:tab w:val="right" w:leader="dot" w:pos="9854"/>
            </w:tabs>
            <w:ind w:firstLine="402"/>
            <w:rPr>
              <w:rFonts w:ascii="宋体" w:hAnsi="宋体" w:eastAsia="宋体" w:cstheme="minorBidi"/>
              <w:b w:val="0"/>
              <w:bCs w:val="0"/>
              <w:caps w:val="0"/>
              <w:sz w:val="21"/>
              <w:szCs w:val="21"/>
              <w14:ligatures w14:val="standardContextual"/>
            </w:rPr>
          </w:pPr>
          <w:r>
            <w:fldChar w:fldCharType="begin"/>
          </w:r>
          <w:r>
            <w:instrText xml:space="preserve"> HYPERLINK \l "_Toc167291578" </w:instrText>
          </w:r>
          <w:r>
            <w:fldChar w:fldCharType="separate"/>
          </w:r>
          <w:r>
            <w:rPr>
              <w:rStyle w:val="22"/>
              <w:rFonts w:ascii="宋体" w:hAnsi="宋体" w:eastAsia="宋体" w:cs="Times New Roman"/>
              <w:kern w:val="44"/>
              <w:sz w:val="21"/>
              <w:szCs w:val="21"/>
            </w:rPr>
            <w:t>第五部分  竞买签署文件</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_Toc167291578 \h </w:instrText>
          </w:r>
          <w:r>
            <w:rPr>
              <w:rFonts w:ascii="宋体" w:hAnsi="宋体" w:eastAsia="宋体"/>
              <w:sz w:val="21"/>
              <w:szCs w:val="21"/>
            </w:rPr>
            <w:fldChar w:fldCharType="separate"/>
          </w:r>
          <w:r>
            <w:rPr>
              <w:rFonts w:ascii="宋体" w:hAnsi="宋体" w:eastAsia="宋体"/>
              <w:sz w:val="21"/>
              <w:szCs w:val="21"/>
            </w:rPr>
            <w:t>8</w:t>
          </w:r>
          <w:r>
            <w:rPr>
              <w:rFonts w:ascii="宋体" w:hAnsi="宋体" w:eastAsia="宋体"/>
              <w:sz w:val="21"/>
              <w:szCs w:val="21"/>
            </w:rPr>
            <w:fldChar w:fldCharType="end"/>
          </w:r>
          <w:r>
            <w:rPr>
              <w:rFonts w:ascii="宋体" w:hAnsi="宋体" w:eastAsia="宋体"/>
              <w:sz w:val="21"/>
              <w:szCs w:val="21"/>
            </w:rPr>
            <w:fldChar w:fldCharType="end"/>
          </w:r>
        </w:p>
        <w:p>
          <w:pPr>
            <w:pStyle w:val="15"/>
            <w:rPr>
              <w:rFonts w:ascii="宋体" w:hAnsi="宋体" w:eastAsia="宋体" w:cstheme="minorBidi"/>
              <w:smallCaps w:val="0"/>
              <w:sz w:val="21"/>
              <w:szCs w:val="21"/>
              <w14:ligatures w14:val="standardContextual"/>
            </w:rPr>
          </w:pPr>
          <w:r>
            <w:fldChar w:fldCharType="begin"/>
          </w:r>
          <w:r>
            <w:instrText xml:space="preserve"> HYPERLINK \l "_Toc167291579" </w:instrText>
          </w:r>
          <w:r>
            <w:fldChar w:fldCharType="separate"/>
          </w:r>
          <w:r>
            <w:rPr>
              <w:rStyle w:val="22"/>
              <w:rFonts w:ascii="宋体" w:hAnsi="宋体" w:eastAsia="宋体"/>
              <w:sz w:val="21"/>
              <w:szCs w:val="21"/>
            </w:rPr>
            <w:t>一、山东省公共资源交易中心资产及权益公开处置系统公开竞价承诺书</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_Toc167291579 \h </w:instrText>
          </w:r>
          <w:r>
            <w:rPr>
              <w:rFonts w:ascii="宋体" w:hAnsi="宋体" w:eastAsia="宋体"/>
              <w:sz w:val="21"/>
              <w:szCs w:val="21"/>
            </w:rPr>
            <w:fldChar w:fldCharType="separate"/>
          </w:r>
          <w:r>
            <w:rPr>
              <w:rFonts w:ascii="宋体" w:hAnsi="宋体" w:eastAsia="宋体"/>
              <w:sz w:val="21"/>
              <w:szCs w:val="21"/>
            </w:rPr>
            <w:t>8</w:t>
          </w:r>
          <w:r>
            <w:rPr>
              <w:rFonts w:ascii="宋体" w:hAnsi="宋体" w:eastAsia="宋体"/>
              <w:sz w:val="21"/>
              <w:szCs w:val="21"/>
            </w:rPr>
            <w:fldChar w:fldCharType="end"/>
          </w:r>
          <w:r>
            <w:rPr>
              <w:rFonts w:ascii="宋体" w:hAnsi="宋体" w:eastAsia="宋体"/>
              <w:sz w:val="21"/>
              <w:szCs w:val="21"/>
            </w:rPr>
            <w:fldChar w:fldCharType="end"/>
          </w:r>
        </w:p>
        <w:p>
          <w:pPr>
            <w:pStyle w:val="15"/>
            <w:rPr>
              <w:rFonts w:ascii="宋体" w:hAnsi="宋体" w:eastAsia="宋体" w:cstheme="minorBidi"/>
              <w:smallCaps w:val="0"/>
              <w:sz w:val="21"/>
              <w:szCs w:val="21"/>
              <w14:ligatures w14:val="standardContextual"/>
            </w:rPr>
          </w:pPr>
          <w:r>
            <w:fldChar w:fldCharType="begin"/>
          </w:r>
          <w:r>
            <w:instrText xml:space="preserve"> HYPERLINK \l "_Toc167291580" </w:instrText>
          </w:r>
          <w:r>
            <w:fldChar w:fldCharType="separate"/>
          </w:r>
          <w:r>
            <w:rPr>
              <w:rStyle w:val="22"/>
              <w:rFonts w:ascii="宋体" w:hAnsi="宋体" w:eastAsia="宋体"/>
              <w:bCs/>
              <w:sz w:val="21"/>
              <w:szCs w:val="21"/>
            </w:rPr>
            <w:t>二、竞买协议</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_Toc167291580 \h </w:instrText>
          </w:r>
          <w:r>
            <w:rPr>
              <w:rFonts w:ascii="宋体" w:hAnsi="宋体" w:eastAsia="宋体"/>
              <w:sz w:val="21"/>
              <w:szCs w:val="21"/>
            </w:rPr>
            <w:fldChar w:fldCharType="separate"/>
          </w:r>
          <w:r>
            <w:rPr>
              <w:rFonts w:ascii="宋体" w:hAnsi="宋体" w:eastAsia="宋体"/>
              <w:sz w:val="21"/>
              <w:szCs w:val="21"/>
            </w:rPr>
            <w:t>10</w:t>
          </w:r>
          <w:r>
            <w:rPr>
              <w:rFonts w:ascii="宋体" w:hAnsi="宋体" w:eastAsia="宋体"/>
              <w:sz w:val="21"/>
              <w:szCs w:val="21"/>
            </w:rPr>
            <w:fldChar w:fldCharType="end"/>
          </w:r>
          <w:r>
            <w:rPr>
              <w:rFonts w:ascii="宋体" w:hAnsi="宋体" w:eastAsia="宋体"/>
              <w:sz w:val="21"/>
              <w:szCs w:val="21"/>
            </w:rPr>
            <w:fldChar w:fldCharType="end"/>
          </w:r>
        </w:p>
        <w:p>
          <w:pPr>
            <w:pStyle w:val="12"/>
            <w:tabs>
              <w:tab w:val="right" w:leader="dot" w:pos="9854"/>
            </w:tabs>
            <w:ind w:firstLine="402"/>
            <w:rPr>
              <w:rFonts w:ascii="宋体" w:hAnsi="宋体" w:eastAsia="宋体" w:cstheme="minorBidi"/>
              <w:b w:val="0"/>
              <w:bCs w:val="0"/>
              <w:caps w:val="0"/>
              <w:sz w:val="21"/>
              <w:szCs w:val="21"/>
              <w14:ligatures w14:val="standardContextual"/>
            </w:rPr>
          </w:pPr>
          <w:r>
            <w:fldChar w:fldCharType="begin"/>
          </w:r>
          <w:r>
            <w:instrText xml:space="preserve"> HYPERLINK \l "_Toc167291581" </w:instrText>
          </w:r>
          <w:r>
            <w:fldChar w:fldCharType="separate"/>
          </w:r>
          <w:r>
            <w:rPr>
              <w:rStyle w:val="22"/>
              <w:rFonts w:ascii="宋体" w:hAnsi="宋体" w:eastAsia="宋体" w:cs="Times New Roman"/>
              <w:kern w:val="44"/>
              <w:sz w:val="21"/>
              <w:szCs w:val="21"/>
            </w:rPr>
            <w:t>第六部分附件</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_Toc167291581 \h </w:instrText>
          </w:r>
          <w:r>
            <w:rPr>
              <w:rFonts w:ascii="宋体" w:hAnsi="宋体" w:eastAsia="宋体"/>
              <w:sz w:val="21"/>
              <w:szCs w:val="21"/>
            </w:rPr>
            <w:fldChar w:fldCharType="separate"/>
          </w:r>
          <w:r>
            <w:rPr>
              <w:rFonts w:ascii="宋体" w:hAnsi="宋体" w:eastAsia="宋体"/>
              <w:sz w:val="21"/>
              <w:szCs w:val="21"/>
            </w:rPr>
            <w:t>13</w:t>
          </w:r>
          <w:r>
            <w:rPr>
              <w:rFonts w:ascii="宋体" w:hAnsi="宋体" w:eastAsia="宋体"/>
              <w:sz w:val="21"/>
              <w:szCs w:val="21"/>
            </w:rPr>
            <w:fldChar w:fldCharType="end"/>
          </w:r>
          <w:r>
            <w:rPr>
              <w:rFonts w:ascii="宋体" w:hAnsi="宋体" w:eastAsia="宋体"/>
              <w:sz w:val="21"/>
              <w:szCs w:val="21"/>
            </w:rPr>
            <w:fldChar w:fldCharType="end"/>
          </w:r>
        </w:p>
        <w:p>
          <w:pPr>
            <w:pStyle w:val="15"/>
            <w:rPr>
              <w:rFonts w:ascii="宋体" w:hAnsi="宋体" w:eastAsia="宋体" w:cstheme="minorBidi"/>
              <w:smallCaps w:val="0"/>
              <w:sz w:val="21"/>
              <w:szCs w:val="21"/>
              <w14:ligatures w14:val="standardContextual"/>
            </w:rPr>
          </w:pPr>
          <w:r>
            <w:fldChar w:fldCharType="begin"/>
          </w:r>
          <w:r>
            <w:instrText xml:space="preserve"> HYPERLINK \l "_Toc167291582" </w:instrText>
          </w:r>
          <w:r>
            <w:fldChar w:fldCharType="separate"/>
          </w:r>
          <w:r>
            <w:rPr>
              <w:rStyle w:val="22"/>
              <w:rFonts w:ascii="宋体" w:hAnsi="宋体" w:eastAsia="宋体"/>
              <w:bCs/>
              <w:sz w:val="21"/>
              <w:szCs w:val="21"/>
            </w:rPr>
            <w:t>授权委托书</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_Toc167291582 \h </w:instrText>
          </w:r>
          <w:r>
            <w:rPr>
              <w:rFonts w:ascii="宋体" w:hAnsi="宋体" w:eastAsia="宋体"/>
              <w:sz w:val="21"/>
              <w:szCs w:val="21"/>
            </w:rPr>
            <w:fldChar w:fldCharType="separate"/>
          </w:r>
          <w:r>
            <w:rPr>
              <w:rFonts w:ascii="宋体" w:hAnsi="宋体" w:eastAsia="宋体"/>
              <w:sz w:val="21"/>
              <w:szCs w:val="21"/>
            </w:rPr>
            <w:t>13</w:t>
          </w:r>
          <w:r>
            <w:rPr>
              <w:rFonts w:ascii="宋体" w:hAnsi="宋体" w:eastAsia="宋体"/>
              <w:sz w:val="21"/>
              <w:szCs w:val="21"/>
            </w:rPr>
            <w:fldChar w:fldCharType="end"/>
          </w:r>
          <w:r>
            <w:rPr>
              <w:rFonts w:ascii="宋体" w:hAnsi="宋体" w:eastAsia="宋体"/>
              <w:sz w:val="21"/>
              <w:szCs w:val="21"/>
            </w:rPr>
            <w:fldChar w:fldCharType="end"/>
          </w:r>
        </w:p>
        <w:p>
          <w:pPr>
            <w:pStyle w:val="15"/>
            <w:rPr>
              <w:rFonts w:ascii="宋体" w:hAnsi="宋体" w:eastAsia="宋体" w:cstheme="minorBidi"/>
              <w:smallCaps w:val="0"/>
              <w:sz w:val="21"/>
              <w:szCs w:val="21"/>
              <w14:ligatures w14:val="standardContextual"/>
            </w:rPr>
          </w:pPr>
          <w:r>
            <w:fldChar w:fldCharType="begin"/>
          </w:r>
          <w:r>
            <w:instrText xml:space="preserve"> HYPERLINK \l "_Toc167291583" </w:instrText>
          </w:r>
          <w:r>
            <w:fldChar w:fldCharType="separate"/>
          </w:r>
          <w:r>
            <w:rPr>
              <w:rStyle w:val="22"/>
              <w:rFonts w:ascii="宋体" w:hAnsi="宋体" w:eastAsia="宋体"/>
              <w:sz w:val="21"/>
              <w:szCs w:val="21"/>
            </w:rPr>
            <w:t>竞买保证金退付表</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_Toc167291583 \h </w:instrText>
          </w:r>
          <w:r>
            <w:rPr>
              <w:rFonts w:ascii="宋体" w:hAnsi="宋体" w:eastAsia="宋体"/>
              <w:sz w:val="21"/>
              <w:szCs w:val="21"/>
            </w:rPr>
            <w:fldChar w:fldCharType="separate"/>
          </w:r>
          <w:r>
            <w:rPr>
              <w:rFonts w:ascii="宋体" w:hAnsi="宋体" w:eastAsia="宋体"/>
              <w:sz w:val="21"/>
              <w:szCs w:val="21"/>
            </w:rPr>
            <w:t>14</w:t>
          </w:r>
          <w:r>
            <w:rPr>
              <w:rFonts w:ascii="宋体" w:hAnsi="宋体" w:eastAsia="宋体"/>
              <w:sz w:val="21"/>
              <w:szCs w:val="21"/>
            </w:rPr>
            <w:fldChar w:fldCharType="end"/>
          </w:r>
          <w:r>
            <w:rPr>
              <w:rFonts w:ascii="宋体" w:hAnsi="宋体" w:eastAsia="宋体"/>
              <w:sz w:val="21"/>
              <w:szCs w:val="21"/>
            </w:rPr>
            <w:fldChar w:fldCharType="end"/>
          </w:r>
        </w:p>
        <w:p>
          <w:pPr>
            <w:spacing w:line="500" w:lineRule="exact"/>
            <w:ind w:firstLine="566" w:firstLineChars="236"/>
            <w:rPr>
              <w:rFonts w:asciiTheme="minorEastAsia" w:hAnsiTheme="minorEastAsia" w:eastAsiaTheme="minorEastAsia"/>
              <w:sz w:val="24"/>
              <w:szCs w:val="24"/>
            </w:rPr>
          </w:pPr>
          <w:r>
            <w:rPr>
              <w:rFonts w:ascii="宋体" w:hAnsi="宋体" w:eastAsia="宋体" w:cstheme="minorHAnsi"/>
              <w:caps/>
              <w:sz w:val="24"/>
              <w:szCs w:val="24"/>
            </w:rPr>
            <w:fldChar w:fldCharType="end"/>
          </w:r>
        </w:p>
      </w:sdtContent>
    </w:sdt>
    <w:p>
      <w:pPr>
        <w:spacing w:line="240" w:lineRule="auto"/>
        <w:ind w:firstLine="0" w:firstLineChars="0"/>
        <w:rPr>
          <w:rFonts w:ascii="Times New Roman" w:hAnsi="Times New Roman" w:eastAsia="黑体" w:cs="Times New Roman"/>
          <w:b/>
          <w:color w:val="000000"/>
          <w:sz w:val="36"/>
          <w:szCs w:val="24"/>
        </w:rPr>
      </w:pPr>
    </w:p>
    <w:p>
      <w:pPr>
        <w:keepNext/>
        <w:keepLines/>
        <w:spacing w:before="340" w:after="330" w:line="576" w:lineRule="auto"/>
        <w:ind w:firstLine="0" w:firstLineChars="0"/>
        <w:jc w:val="center"/>
        <w:outlineLvl w:val="0"/>
        <w:rPr>
          <w:rFonts w:ascii="Times New Roman" w:hAnsi="Times New Roman" w:eastAsia="宋体" w:cs="Times New Roman"/>
          <w:b/>
          <w:kern w:val="44"/>
          <w:szCs w:val="24"/>
        </w:rPr>
      </w:pPr>
      <w:r>
        <w:rPr>
          <w:rFonts w:hint="eastAsia"/>
          <w:b/>
        </w:rPr>
        <w:br w:type="page"/>
      </w:r>
      <w:bookmarkStart w:id="2" w:name="_Toc167291574"/>
      <w:r>
        <w:rPr>
          <w:rFonts w:hint="eastAsia" w:ascii="Times New Roman" w:hAnsi="Times New Roman" w:eastAsia="宋体" w:cs="Times New Roman"/>
          <w:b/>
          <w:kern w:val="44"/>
          <w:szCs w:val="24"/>
        </w:rPr>
        <w:t>第一部分</w:t>
      </w:r>
      <w:r>
        <w:rPr>
          <w:rFonts w:ascii="Times New Roman" w:hAnsi="Times New Roman" w:eastAsia="宋体" w:cs="Times New Roman"/>
          <w:b/>
          <w:kern w:val="44"/>
          <w:szCs w:val="24"/>
        </w:rPr>
        <w:t xml:space="preserve">  </w:t>
      </w:r>
      <w:r>
        <w:rPr>
          <w:rFonts w:hint="eastAsia" w:ascii="Times New Roman" w:hAnsi="Times New Roman" w:eastAsia="宋体" w:cs="Times New Roman"/>
          <w:b/>
          <w:kern w:val="44"/>
          <w:szCs w:val="24"/>
        </w:rPr>
        <w:t>总则</w:t>
      </w:r>
      <w:bookmarkEnd w:id="2"/>
    </w:p>
    <w:p>
      <w:pPr>
        <w:tabs>
          <w:tab w:val="left" w:pos="1146"/>
        </w:tabs>
        <w:spacing w:line="240" w:lineRule="auto"/>
        <w:ind w:left="1" w:firstLine="482"/>
        <w:rPr>
          <w:rFonts w:ascii="Times New Roman" w:hAnsi="Times New Roman" w:eastAsia="宋体" w:cs="Times New Roman"/>
          <w:b/>
          <w:bCs/>
          <w:color w:val="000000"/>
          <w:sz w:val="24"/>
          <w:szCs w:val="24"/>
        </w:rPr>
      </w:pPr>
    </w:p>
    <w:p>
      <w:pPr>
        <w:spacing w:line="480" w:lineRule="exact"/>
        <w:ind w:firstLine="424" w:firstLineChars="176"/>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1. 本拍卖文件适用于本文件中所述项目的公开拍卖活动。</w:t>
      </w:r>
    </w:p>
    <w:p>
      <w:pPr>
        <w:spacing w:line="480" w:lineRule="exact"/>
        <w:ind w:firstLine="424" w:firstLineChars="176"/>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2. 定义</w:t>
      </w:r>
    </w:p>
    <w:p>
      <w:pPr>
        <w:spacing w:line="480" w:lineRule="exact"/>
        <w:ind w:firstLine="422" w:firstLineChars="176"/>
        <w:rPr>
          <w:rFonts w:ascii="Times New Roman" w:hAnsi="Times New Roman" w:eastAsia="宋体" w:cs="Times New Roman"/>
          <w:sz w:val="24"/>
          <w:szCs w:val="24"/>
        </w:rPr>
      </w:pPr>
      <w:r>
        <w:rPr>
          <w:rFonts w:hint="eastAsia" w:ascii="Times New Roman" w:hAnsi="Times New Roman" w:eastAsia="宋体" w:cs="Times New Roman"/>
          <w:sz w:val="24"/>
          <w:szCs w:val="24"/>
        </w:rPr>
        <w:t>2.1“委托人”指山东通达交通投资发展集团有限公司。</w:t>
      </w:r>
    </w:p>
    <w:p>
      <w:pPr>
        <w:spacing w:line="480" w:lineRule="exact"/>
        <w:ind w:firstLine="422" w:firstLineChars="176"/>
        <w:rPr>
          <w:rFonts w:ascii="Times New Roman" w:hAnsi="Times New Roman" w:eastAsia="宋体" w:cs="Times New Roman"/>
          <w:sz w:val="24"/>
          <w:szCs w:val="24"/>
        </w:rPr>
      </w:pPr>
      <w:r>
        <w:rPr>
          <w:rFonts w:hint="eastAsia" w:ascii="Times New Roman" w:hAnsi="Times New Roman" w:eastAsia="宋体" w:cs="Times New Roman"/>
          <w:sz w:val="24"/>
          <w:szCs w:val="24"/>
        </w:rPr>
        <w:t>2.2“代理机构”指 山东功致拍卖有限公司。</w:t>
      </w:r>
    </w:p>
    <w:p>
      <w:pPr>
        <w:spacing w:line="480" w:lineRule="exact"/>
        <w:ind w:firstLine="422" w:firstLineChars="176"/>
        <w:rPr>
          <w:rFonts w:ascii="Times New Roman" w:hAnsi="Times New Roman" w:eastAsia="宋体" w:cs="Times New Roman"/>
          <w:sz w:val="24"/>
          <w:szCs w:val="24"/>
        </w:rPr>
      </w:pPr>
      <w:r>
        <w:rPr>
          <w:rFonts w:hint="eastAsia" w:ascii="Times New Roman" w:hAnsi="Times New Roman" w:eastAsia="宋体" w:cs="Times New Roman"/>
          <w:sz w:val="24"/>
          <w:szCs w:val="24"/>
        </w:rPr>
        <w:t>2.3“竞买人”指符合拍卖文件规定并登记参加网上拍卖的自然人、法人或其他组织。</w:t>
      </w:r>
    </w:p>
    <w:p>
      <w:pPr>
        <w:spacing w:line="480" w:lineRule="exact"/>
        <w:ind w:firstLine="422" w:firstLineChars="176"/>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4</w:t>
      </w:r>
      <w:r>
        <w:rPr>
          <w:rFonts w:hint="eastAsia" w:ascii="Times New Roman" w:hAnsi="Times New Roman" w:eastAsia="宋体" w:cs="Times New Roman"/>
          <w:sz w:val="24"/>
          <w:szCs w:val="24"/>
        </w:rPr>
        <w:t>“买受人”指在公开拍卖中，以最高报价成交的自然人、法人或其他组织。</w:t>
      </w:r>
    </w:p>
    <w:p>
      <w:pPr>
        <w:spacing w:line="480" w:lineRule="exact"/>
        <w:ind w:firstLine="424" w:firstLineChars="176"/>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3. 合格竞买人的条件</w:t>
      </w:r>
    </w:p>
    <w:p>
      <w:pPr>
        <w:spacing w:line="480" w:lineRule="exact"/>
        <w:ind w:firstLine="422" w:firstLineChars="176"/>
        <w:rPr>
          <w:rFonts w:ascii="Times New Roman" w:hAnsi="Times New Roman" w:eastAsia="宋体" w:cs="Times New Roman"/>
          <w:sz w:val="24"/>
          <w:szCs w:val="24"/>
        </w:rPr>
      </w:pPr>
      <w:r>
        <w:rPr>
          <w:rFonts w:hint="eastAsia" w:ascii="Times New Roman" w:hAnsi="Times New Roman" w:eastAsia="宋体" w:cs="Times New Roman"/>
          <w:sz w:val="24"/>
          <w:szCs w:val="24"/>
        </w:rPr>
        <w:t>3.1具有独立承担民事责任能力。</w:t>
      </w:r>
    </w:p>
    <w:p>
      <w:pPr>
        <w:spacing w:line="480" w:lineRule="exact"/>
        <w:ind w:firstLine="422" w:firstLineChars="176"/>
        <w:rPr>
          <w:rFonts w:ascii="Times New Roman" w:hAnsi="Times New Roman" w:eastAsia="宋体" w:cs="Times New Roman"/>
          <w:sz w:val="24"/>
          <w:szCs w:val="24"/>
        </w:rPr>
      </w:pPr>
      <w:r>
        <w:rPr>
          <w:rFonts w:hint="eastAsia" w:ascii="Times New Roman" w:hAnsi="Times New Roman" w:eastAsia="宋体" w:cs="Times New Roman"/>
          <w:sz w:val="24"/>
          <w:szCs w:val="24"/>
        </w:rPr>
        <w:t>3.2遵守有关法律法规并承诺履行本拍卖文件规定的责任义务。</w:t>
      </w:r>
    </w:p>
    <w:p>
      <w:pPr>
        <w:spacing w:line="480" w:lineRule="exact"/>
        <w:ind w:firstLine="422" w:firstLineChars="176"/>
        <w:rPr>
          <w:rFonts w:ascii="Times New Roman" w:hAnsi="Times New Roman" w:eastAsia="宋体" w:cs="Times New Roman"/>
          <w:sz w:val="24"/>
          <w:szCs w:val="24"/>
        </w:rPr>
      </w:pPr>
      <w:r>
        <w:rPr>
          <w:rFonts w:hint="eastAsia" w:ascii="Times New Roman" w:hAnsi="Times New Roman" w:eastAsia="宋体" w:cs="Times New Roman"/>
          <w:sz w:val="24"/>
          <w:szCs w:val="24"/>
        </w:rPr>
        <w:t>3.3获取拍卖文件并办理登记手续。</w:t>
      </w:r>
    </w:p>
    <w:p>
      <w:pPr>
        <w:spacing w:line="480" w:lineRule="exact"/>
        <w:ind w:firstLine="422" w:firstLineChars="176"/>
        <w:rPr>
          <w:rFonts w:ascii="Times New Roman" w:hAnsi="Times New Roman" w:eastAsia="宋体" w:cs="Times New Roman"/>
          <w:sz w:val="24"/>
          <w:szCs w:val="24"/>
        </w:rPr>
      </w:pPr>
      <w:r>
        <w:rPr>
          <w:rFonts w:hint="eastAsia" w:ascii="Times New Roman" w:hAnsi="Times New Roman" w:eastAsia="宋体" w:cs="Times New Roman"/>
          <w:sz w:val="24"/>
          <w:szCs w:val="24"/>
        </w:rPr>
        <w:t>3.4按时足额交纳竞买保证金。</w:t>
      </w:r>
    </w:p>
    <w:p>
      <w:pPr>
        <w:spacing w:line="480" w:lineRule="exact"/>
        <w:ind w:firstLine="422" w:firstLineChars="176"/>
        <w:rPr>
          <w:rFonts w:ascii="Times New Roman" w:hAnsi="Times New Roman" w:eastAsia="宋体" w:cs="Times New Roman"/>
          <w:sz w:val="24"/>
          <w:szCs w:val="24"/>
        </w:rPr>
      </w:pPr>
      <w:r>
        <w:rPr>
          <w:rFonts w:hint="eastAsia" w:ascii="Times New Roman" w:hAnsi="Times New Roman" w:eastAsia="宋体" w:cs="Times New Roman"/>
          <w:sz w:val="24"/>
          <w:szCs w:val="24"/>
        </w:rPr>
        <w:t>3.5满足拍卖文件对竞买人的要求</w:t>
      </w:r>
    </w:p>
    <w:p>
      <w:pPr>
        <w:spacing w:line="480" w:lineRule="exact"/>
        <w:ind w:firstLine="424" w:firstLineChars="176"/>
        <w:rPr>
          <w:rFonts w:ascii="Times New Roman" w:hAnsi="Times New Roman" w:eastAsia="宋体" w:cs="Times New Roman"/>
          <w:b/>
          <w:bCs/>
          <w:sz w:val="24"/>
          <w:szCs w:val="24"/>
        </w:rPr>
      </w:pPr>
      <w:r>
        <w:rPr>
          <w:rFonts w:ascii="Times New Roman" w:hAnsi="Times New Roman" w:eastAsia="宋体" w:cs="Times New Roman"/>
          <w:b/>
          <w:bCs/>
          <w:sz w:val="24"/>
          <w:szCs w:val="24"/>
        </w:rPr>
        <w:t>4.</w:t>
      </w:r>
      <w:r>
        <w:rPr>
          <w:rFonts w:hint="eastAsia" w:ascii="Times New Roman" w:hAnsi="Times New Roman" w:eastAsia="宋体" w:cs="Times New Roman"/>
          <w:b/>
          <w:bCs/>
          <w:sz w:val="24"/>
          <w:szCs w:val="24"/>
        </w:rPr>
        <w:t xml:space="preserve"> 拍卖代理佣金</w:t>
      </w:r>
    </w:p>
    <w:p>
      <w:pPr>
        <w:spacing w:line="480" w:lineRule="exact"/>
        <w:ind w:firstLine="422" w:firstLineChars="176"/>
        <w:rPr>
          <w:rFonts w:ascii="Times New Roman" w:hAnsi="Times New Roman" w:eastAsia="宋体" w:cs="Times New Roman"/>
          <w:sz w:val="24"/>
          <w:szCs w:val="24"/>
        </w:rPr>
      </w:pPr>
      <w:r>
        <w:rPr>
          <w:rFonts w:hint="eastAsia" w:ascii="Times New Roman" w:hAnsi="Times New Roman" w:eastAsia="宋体" w:cs="Times New Roman"/>
          <w:sz w:val="24"/>
          <w:szCs w:val="24"/>
        </w:rPr>
        <w:t>成交后，买受人须支付佣金。未成交竞买人无需支付佣金。</w:t>
      </w:r>
    </w:p>
    <w:p>
      <w:pPr>
        <w:spacing w:line="480" w:lineRule="exact"/>
        <w:ind w:firstLine="424" w:firstLineChars="176"/>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5</w:t>
      </w:r>
      <w:r>
        <w:rPr>
          <w:rFonts w:ascii="Times New Roman" w:hAnsi="Times New Roman" w:eastAsia="宋体" w:cs="Times New Roman"/>
          <w:b/>
          <w:bCs/>
          <w:sz w:val="24"/>
          <w:szCs w:val="24"/>
        </w:rPr>
        <w:t xml:space="preserve">. </w:t>
      </w:r>
      <w:r>
        <w:rPr>
          <w:rFonts w:hint="eastAsia" w:ascii="Times New Roman" w:hAnsi="Times New Roman" w:eastAsia="宋体" w:cs="Times New Roman"/>
          <w:b/>
          <w:bCs/>
          <w:sz w:val="24"/>
          <w:szCs w:val="24"/>
        </w:rPr>
        <w:t>通知</w:t>
      </w:r>
    </w:p>
    <w:p>
      <w:pPr>
        <w:spacing w:line="480" w:lineRule="exact"/>
        <w:ind w:firstLine="422" w:firstLineChars="176"/>
        <w:rPr>
          <w:rFonts w:ascii="Times New Roman" w:hAnsi="Times New Roman" w:eastAsia="宋体" w:cs="Times New Roman"/>
          <w:sz w:val="24"/>
          <w:szCs w:val="24"/>
        </w:rPr>
      </w:pPr>
      <w:r>
        <w:rPr>
          <w:rFonts w:hint="eastAsia" w:ascii="Times New Roman" w:hAnsi="Times New Roman" w:eastAsia="宋体" w:cs="Times New Roman"/>
          <w:sz w:val="24"/>
          <w:szCs w:val="24"/>
        </w:rPr>
        <w:t>拍卖公告、拍卖文件、成交公示等信息，代理机构采用在山东省公共资源交易中心网站等媒体发布的形式。其他与本项目相关的通知，将以书面（包括书面材料、信函、传真等）或者电子邮件的形式发送，电话号码（手机号码）、邮箱、联系地址以竞买人在资产拍卖竞价系统注册的信息或办理项目登记时登记信息为准。</w:t>
      </w:r>
    </w:p>
    <w:p>
      <w:pPr>
        <w:spacing w:line="480" w:lineRule="exact"/>
        <w:ind w:firstLine="0" w:firstLineChars="0"/>
        <w:rPr>
          <w:rFonts w:ascii="Times New Roman" w:hAnsi="Times New Roman" w:eastAsia="宋体" w:cs="Times New Roman"/>
          <w:sz w:val="24"/>
          <w:szCs w:val="24"/>
        </w:rPr>
      </w:pPr>
    </w:p>
    <w:p>
      <w:pPr>
        <w:spacing w:line="480" w:lineRule="exact"/>
        <w:ind w:firstLine="0" w:firstLineChars="0"/>
        <w:rPr>
          <w:rFonts w:ascii="Times New Roman" w:hAnsi="Times New Roman" w:eastAsia="宋体" w:cs="Times New Roman"/>
          <w:sz w:val="24"/>
          <w:szCs w:val="24"/>
        </w:rPr>
      </w:pPr>
    </w:p>
    <w:p>
      <w:pPr>
        <w:spacing w:line="240" w:lineRule="auto"/>
        <w:ind w:firstLine="0"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br w:type="page"/>
      </w:r>
    </w:p>
    <w:p>
      <w:pPr>
        <w:keepNext/>
        <w:keepLines/>
        <w:spacing w:before="340" w:after="330" w:line="576" w:lineRule="auto"/>
        <w:ind w:firstLine="0" w:firstLineChars="0"/>
        <w:jc w:val="center"/>
        <w:outlineLvl w:val="0"/>
        <w:rPr>
          <w:rFonts w:ascii="Times New Roman" w:hAnsi="Times New Roman" w:eastAsia="宋体" w:cs="Times New Roman"/>
          <w:b/>
          <w:kern w:val="44"/>
          <w:szCs w:val="24"/>
        </w:rPr>
      </w:pPr>
      <w:bookmarkStart w:id="3" w:name="_Toc167291575"/>
      <w:r>
        <w:rPr>
          <w:rFonts w:hint="eastAsia" w:ascii="Times New Roman" w:hAnsi="Times New Roman" w:eastAsia="宋体" w:cs="Times New Roman"/>
          <w:b/>
          <w:kern w:val="44"/>
          <w:szCs w:val="24"/>
        </w:rPr>
        <w:t>第二部分  拍卖邀请书</w:t>
      </w:r>
      <w:bookmarkEnd w:id="3"/>
    </w:p>
    <w:p>
      <w:pPr>
        <w:spacing w:line="480" w:lineRule="exact"/>
        <w:ind w:firstLine="480"/>
        <w:jc w:val="left"/>
        <w:rPr>
          <w:rFonts w:ascii="Times New Roman" w:hAnsi="Times New Roman" w:eastAsia="宋体" w:cs="Times New Roman"/>
          <w:sz w:val="24"/>
          <w:szCs w:val="24"/>
        </w:rPr>
      </w:pPr>
      <w:r>
        <w:rPr>
          <w:rFonts w:hint="eastAsia" w:ascii="Times New Roman" w:hAnsi="Times New Roman" w:eastAsia="宋体" w:cs="Times New Roman"/>
          <w:sz w:val="24"/>
          <w:szCs w:val="24"/>
          <w:u w:val="single"/>
        </w:rPr>
        <w:t>山东功致拍卖有限公司</w:t>
      </w:r>
      <w:r>
        <w:rPr>
          <w:rFonts w:hint="eastAsia" w:ascii="Times New Roman" w:hAnsi="Times New Roman" w:eastAsia="宋体" w:cs="Times New Roman"/>
          <w:sz w:val="24"/>
          <w:szCs w:val="24"/>
        </w:rPr>
        <w:t>（代理机构名称）就</w:t>
      </w:r>
      <w:r>
        <w:rPr>
          <w:rFonts w:hint="eastAsia" w:ascii="Times New Roman" w:hAnsi="Times New Roman" w:eastAsia="宋体" w:cs="Times New Roman"/>
          <w:sz w:val="24"/>
          <w:szCs w:val="24"/>
          <w:u w:val="single"/>
        </w:rPr>
        <w:t xml:space="preserve"> 滨州海警局查扣锌锭、再生铅锑合金（铅制品）及铅精矿（粉）各一宗</w:t>
      </w:r>
      <w:r>
        <w:rPr>
          <w:rFonts w:hint="eastAsia" w:ascii="Times New Roman" w:hAnsi="Times New Roman" w:eastAsia="宋体" w:cs="Times New Roman"/>
          <w:sz w:val="24"/>
          <w:szCs w:val="24"/>
        </w:rPr>
        <w:t>公开拍卖项目进行公开拍卖，邀请合格竞买人参与竞价。</w:t>
      </w:r>
    </w:p>
    <w:p>
      <w:pPr>
        <w:spacing w:line="480" w:lineRule="exact"/>
        <w:ind w:firstLine="566" w:firstLineChars="235"/>
        <w:jc w:val="left"/>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一、项目编号：</w:t>
      </w:r>
      <w:r>
        <w:rPr>
          <w:rFonts w:ascii="Times New Roman" w:hAnsi="Times New Roman" w:eastAsia="宋体" w:cs="Times New Roman"/>
          <w:b/>
          <w:bCs/>
          <w:sz w:val="24"/>
          <w:szCs w:val="24"/>
        </w:rPr>
        <w:t>SWZC3700002024105</w:t>
      </w:r>
      <w:r>
        <w:rPr>
          <w:rFonts w:hint="eastAsia" w:ascii="Times New Roman" w:hAnsi="Times New Roman" w:eastAsia="宋体" w:cs="Times New Roman"/>
          <w:b/>
          <w:bCs/>
          <w:sz w:val="24"/>
          <w:szCs w:val="24"/>
        </w:rPr>
        <w:t xml:space="preserve"> </w:t>
      </w:r>
    </w:p>
    <w:p>
      <w:pPr>
        <w:spacing w:line="480" w:lineRule="exact"/>
        <w:ind w:firstLine="566" w:firstLineChars="235"/>
        <w:jc w:val="left"/>
        <w:rPr>
          <w:rFonts w:ascii="Times New Roman" w:hAnsi="Times New Roman" w:eastAsia="宋体" w:cs="Times New Roman"/>
          <w:sz w:val="24"/>
          <w:szCs w:val="24"/>
        </w:rPr>
      </w:pPr>
      <w:r>
        <w:rPr>
          <w:rFonts w:hint="eastAsia" w:ascii="Times New Roman" w:hAnsi="Times New Roman" w:eastAsia="宋体" w:cs="Times New Roman"/>
          <w:b/>
          <w:bCs/>
          <w:sz w:val="24"/>
          <w:szCs w:val="24"/>
        </w:rPr>
        <w:t xml:space="preserve">二、项目名称： </w:t>
      </w:r>
      <w:bookmarkStart w:id="4" w:name="_Hlk167362348"/>
      <w:r>
        <w:rPr>
          <w:rFonts w:hint="eastAsia" w:ascii="Times New Roman" w:hAnsi="Times New Roman" w:eastAsia="宋体" w:cs="Times New Roman"/>
          <w:sz w:val="24"/>
          <w:szCs w:val="24"/>
          <w:u w:val="single"/>
        </w:rPr>
        <w:t>滨州海警局查扣</w:t>
      </w:r>
      <w:bookmarkEnd w:id="4"/>
      <w:r>
        <w:rPr>
          <w:rFonts w:hint="eastAsia" w:ascii="Times New Roman" w:hAnsi="Times New Roman" w:eastAsia="宋体" w:cs="Times New Roman"/>
          <w:sz w:val="24"/>
          <w:szCs w:val="24"/>
          <w:u w:val="single"/>
        </w:rPr>
        <w:t>锌锭、再生铅锑合金（铅制品）及铅精矿（粉）各一宗公开拍卖</w:t>
      </w:r>
    </w:p>
    <w:p>
      <w:pPr>
        <w:spacing w:line="480" w:lineRule="exact"/>
        <w:ind w:firstLine="566" w:firstLineChars="235"/>
        <w:jc w:val="left"/>
        <w:rPr>
          <w:rFonts w:ascii="Times New Roman" w:hAnsi="Times New Roman" w:eastAsia="宋体" w:cs="Times New Roman"/>
          <w:sz w:val="24"/>
          <w:szCs w:val="24"/>
        </w:rPr>
      </w:pPr>
      <w:r>
        <w:rPr>
          <w:rFonts w:hint="eastAsia" w:ascii="Times New Roman" w:hAnsi="Times New Roman" w:eastAsia="宋体" w:cs="Times New Roman"/>
          <w:b/>
          <w:bCs/>
          <w:sz w:val="24"/>
          <w:szCs w:val="24"/>
        </w:rPr>
        <w:t xml:space="preserve">三、拍卖内容： </w:t>
      </w:r>
      <w:r>
        <w:rPr>
          <w:rFonts w:hint="eastAsia" w:ascii="Times New Roman" w:hAnsi="Times New Roman" w:eastAsia="宋体" w:cs="Times New Roman"/>
          <w:sz w:val="24"/>
          <w:szCs w:val="24"/>
          <w:u w:val="single"/>
        </w:rPr>
        <w:t>滨州海警局查扣锌锭、再生铅锑合金（铅制品）及铅精矿（粉）各一宗</w:t>
      </w:r>
      <w:r>
        <w:rPr>
          <w:rFonts w:hint="eastAsia" w:ascii="Times New Roman" w:hAnsi="Times New Roman" w:eastAsia="宋体" w:cs="Times New Roman"/>
          <w:sz w:val="24"/>
          <w:szCs w:val="24"/>
        </w:rPr>
        <w:t>；</w:t>
      </w:r>
    </w:p>
    <w:p>
      <w:pPr>
        <w:spacing w:line="480" w:lineRule="exact"/>
        <w:ind w:firstLine="566" w:firstLineChars="235"/>
        <w:jc w:val="left"/>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四、登记时间、地点和拍卖文件获取方式：</w:t>
      </w:r>
    </w:p>
    <w:p>
      <w:pPr>
        <w:spacing w:line="480" w:lineRule="exact"/>
        <w:ind w:firstLine="564" w:firstLineChars="235"/>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1、登记时间：2024年6月3日9时 至 2024年6月10日17时（北京时间） </w:t>
      </w:r>
    </w:p>
    <w:p>
      <w:pPr>
        <w:spacing w:line="480" w:lineRule="exact"/>
        <w:ind w:firstLine="564" w:firstLineChars="235"/>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2、登记地点：请联系拍卖公司工作人员。</w:t>
      </w:r>
    </w:p>
    <w:p>
      <w:pPr>
        <w:spacing w:line="480" w:lineRule="exact"/>
        <w:ind w:firstLine="564" w:firstLineChars="235"/>
        <w:rPr>
          <w:rFonts w:ascii="Times New Roman" w:hAnsi="Times New Roman" w:eastAsia="宋体" w:cs="Times New Roman"/>
          <w:sz w:val="24"/>
          <w:szCs w:val="24"/>
        </w:rPr>
      </w:pPr>
      <w:r>
        <w:rPr>
          <w:rFonts w:hint="eastAsia" w:ascii="Times New Roman" w:hAnsi="Times New Roman" w:eastAsia="宋体" w:cs="Times New Roman"/>
          <w:sz w:val="24"/>
          <w:szCs w:val="24"/>
        </w:rPr>
        <w:t>3、拍卖文件获取方式：登录山东省公共资源交易中心网站-（网址http://ggzyjyzx.shandong.gov.cn/）</w:t>
      </w:r>
      <w:r>
        <w:rPr>
          <w:rFonts w:ascii="Times New Roman" w:hAnsi="Times New Roman" w:eastAsia="宋体" w:cs="Times New Roman"/>
          <w:sz w:val="24"/>
          <w:szCs w:val="24"/>
        </w:rPr>
        <w:t>，免费下载</w:t>
      </w:r>
      <w:r>
        <w:rPr>
          <w:rFonts w:hint="eastAsia" w:ascii="Times New Roman" w:hAnsi="Times New Roman" w:eastAsia="宋体" w:cs="Times New Roman"/>
          <w:sz w:val="24"/>
          <w:szCs w:val="24"/>
        </w:rPr>
        <w:t>拍卖</w:t>
      </w:r>
      <w:r>
        <w:rPr>
          <w:rFonts w:ascii="Times New Roman" w:hAnsi="Times New Roman" w:eastAsia="宋体" w:cs="Times New Roman"/>
          <w:sz w:val="24"/>
          <w:szCs w:val="24"/>
        </w:rPr>
        <w:t>文件。</w:t>
      </w:r>
      <w:r>
        <w:rPr>
          <w:rFonts w:hint="eastAsia" w:ascii="Times New Roman" w:hAnsi="Times New Roman" w:eastAsia="宋体" w:cs="Times New Roman"/>
          <w:sz w:val="24"/>
          <w:szCs w:val="24"/>
        </w:rPr>
        <w:t>登录方式：网站首页-平台入口-权益类–资产处置-账号登录。</w:t>
      </w:r>
    </w:p>
    <w:p>
      <w:pPr>
        <w:spacing w:line="480" w:lineRule="exact"/>
        <w:ind w:firstLine="566" w:firstLineChars="235"/>
        <w:rPr>
          <w:rFonts w:ascii="Times New Roman" w:hAnsi="Times New Roman" w:eastAsia="宋体" w:cs="Times New Roman"/>
          <w:sz w:val="24"/>
          <w:szCs w:val="24"/>
        </w:rPr>
      </w:pPr>
      <w:r>
        <w:rPr>
          <w:rFonts w:hint="eastAsia" w:ascii="Times New Roman" w:hAnsi="Times New Roman" w:eastAsia="宋体" w:cs="Times New Roman"/>
          <w:b/>
          <w:bCs/>
          <w:sz w:val="24"/>
          <w:szCs w:val="24"/>
        </w:rPr>
        <w:t>五、公开拍卖时间：</w:t>
      </w:r>
      <w:r>
        <w:rPr>
          <w:rFonts w:hint="eastAsia" w:ascii="Times New Roman" w:hAnsi="Times New Roman" w:eastAsia="宋体" w:cs="Times New Roman"/>
          <w:sz w:val="24"/>
          <w:szCs w:val="24"/>
        </w:rPr>
        <w:t>2024年6月11日10时开始（北京时间，延时除外）。</w:t>
      </w:r>
    </w:p>
    <w:p>
      <w:pPr>
        <w:spacing w:line="480" w:lineRule="exact"/>
        <w:ind w:firstLine="566" w:firstLineChars="235"/>
        <w:jc w:val="left"/>
        <w:rPr>
          <w:rFonts w:ascii="Times New Roman" w:hAnsi="Times New Roman" w:eastAsia="宋体" w:cs="Times New Roman"/>
          <w:sz w:val="24"/>
          <w:szCs w:val="24"/>
        </w:rPr>
      </w:pPr>
      <w:r>
        <w:rPr>
          <w:rFonts w:hint="eastAsia" w:ascii="Times New Roman" w:hAnsi="Times New Roman" w:eastAsia="宋体" w:cs="Times New Roman"/>
          <w:b/>
          <w:bCs/>
          <w:sz w:val="24"/>
          <w:szCs w:val="24"/>
        </w:rPr>
        <w:t>六、公开拍卖方式</w:t>
      </w:r>
      <w:r>
        <w:rPr>
          <w:rFonts w:hint="eastAsia" w:ascii="Times New Roman" w:hAnsi="Times New Roman" w:eastAsia="宋体" w:cs="Times New Roman"/>
          <w:sz w:val="24"/>
          <w:szCs w:val="24"/>
        </w:rPr>
        <w:t>：通过山东省公共资源交易中心网站（网址</w:t>
      </w:r>
      <w:r>
        <w:rPr>
          <w:rFonts w:ascii="Times New Roman" w:hAnsi="Times New Roman" w:eastAsia="宋体" w:cs="Times New Roman"/>
          <w:sz w:val="24"/>
          <w:szCs w:val="24"/>
        </w:rPr>
        <w:t>http://ggzyjyzx.shandong.gov.cn/）进行公开竞价。</w:t>
      </w:r>
      <w:r>
        <w:rPr>
          <w:rFonts w:hint="eastAsia" w:ascii="Times New Roman" w:hAnsi="Times New Roman" w:eastAsia="宋体" w:cs="Times New Roman"/>
          <w:sz w:val="24"/>
          <w:szCs w:val="24"/>
        </w:rPr>
        <w:t>登录方式：网站首页-平台入口-权益类–资产处置-账号登录。</w:t>
      </w:r>
    </w:p>
    <w:p>
      <w:pPr>
        <w:spacing w:line="480" w:lineRule="exact"/>
        <w:ind w:firstLine="566" w:firstLineChars="235"/>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七、联系方式</w:t>
      </w:r>
    </w:p>
    <w:p>
      <w:pPr>
        <w:spacing w:line="480" w:lineRule="exact"/>
        <w:ind w:firstLine="564" w:firstLineChars="235"/>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联系人：杨经理 13583118980  </w:t>
      </w:r>
    </w:p>
    <w:p>
      <w:pPr>
        <w:spacing w:line="480" w:lineRule="exact"/>
        <w:ind w:firstLine="564" w:firstLineChars="235"/>
        <w:rPr>
          <w:rFonts w:ascii="Times New Roman" w:hAnsi="Times New Roman" w:eastAsia="宋体" w:cs="Times New Roman"/>
          <w:sz w:val="24"/>
          <w:szCs w:val="24"/>
        </w:rPr>
        <w:sectPr>
          <w:footerReference r:id="rId11" w:type="default"/>
          <w:pgSz w:w="11906" w:h="16838"/>
          <w:pgMar w:top="1134" w:right="1021" w:bottom="680" w:left="1021" w:header="737" w:footer="0" w:gutter="0"/>
          <w:pgNumType w:start="1"/>
          <w:cols w:space="720" w:num="1"/>
          <w:docGrid w:type="lines" w:linePitch="312" w:charSpace="0"/>
        </w:sectPr>
      </w:pPr>
      <w:r>
        <w:rPr>
          <w:rFonts w:hint="eastAsia" w:ascii="Times New Roman" w:hAnsi="Times New Roman" w:eastAsia="宋体" w:cs="Times New Roman"/>
          <w:sz w:val="24"/>
          <w:szCs w:val="24"/>
        </w:rPr>
        <w:t>公司地址：济南市历下区马鞍山路2</w:t>
      </w:r>
      <w:r>
        <w:rPr>
          <w:rFonts w:ascii="Times New Roman" w:hAnsi="Times New Roman" w:eastAsia="宋体" w:cs="Times New Roman"/>
          <w:sz w:val="24"/>
          <w:szCs w:val="24"/>
        </w:rPr>
        <w:t>-1</w:t>
      </w:r>
      <w:r>
        <w:rPr>
          <w:rFonts w:hint="eastAsia" w:ascii="Times New Roman" w:hAnsi="Times New Roman" w:eastAsia="宋体" w:cs="Times New Roman"/>
          <w:sz w:val="24"/>
          <w:szCs w:val="24"/>
        </w:rPr>
        <w:t>号山东大厦</w:t>
      </w:r>
    </w:p>
    <w:p>
      <w:pPr>
        <w:keepNext/>
        <w:keepLines/>
        <w:spacing w:before="340" w:after="330" w:line="576" w:lineRule="auto"/>
        <w:ind w:firstLine="0" w:firstLineChars="0"/>
        <w:jc w:val="center"/>
        <w:outlineLvl w:val="0"/>
        <w:rPr>
          <w:rFonts w:ascii="Times New Roman" w:hAnsi="Times New Roman" w:eastAsia="宋体" w:cs="Times New Roman"/>
          <w:b/>
          <w:kern w:val="44"/>
          <w:szCs w:val="24"/>
        </w:rPr>
      </w:pPr>
      <w:bookmarkStart w:id="5" w:name="_Toc167291576"/>
      <w:r>
        <w:rPr>
          <w:rFonts w:hint="eastAsia" w:ascii="Times New Roman" w:hAnsi="Times New Roman" w:eastAsia="宋体" w:cs="Times New Roman"/>
          <w:b/>
          <w:kern w:val="44"/>
          <w:szCs w:val="24"/>
        </w:rPr>
        <w:t>第三部分  竞买人须知</w:t>
      </w:r>
      <w:bookmarkEnd w:id="5"/>
    </w:p>
    <w:tbl>
      <w:tblPr>
        <w:tblStyle w:val="19"/>
        <w:tblW w:w="87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794"/>
        <w:gridCol w:w="5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8" w:type="dxa"/>
            <w:vAlign w:val="center"/>
          </w:tcPr>
          <w:p>
            <w:pPr>
              <w:spacing w:line="460" w:lineRule="exact"/>
              <w:ind w:firstLine="0" w:firstLineChars="0"/>
              <w:jc w:val="center"/>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序号</w:t>
            </w:r>
          </w:p>
        </w:tc>
        <w:tc>
          <w:tcPr>
            <w:tcW w:w="2794" w:type="dxa"/>
            <w:vAlign w:val="center"/>
          </w:tcPr>
          <w:p>
            <w:pPr>
              <w:spacing w:line="460" w:lineRule="exact"/>
              <w:ind w:firstLine="0" w:firstLineChars="0"/>
              <w:jc w:val="center"/>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内  容</w:t>
            </w:r>
          </w:p>
        </w:tc>
        <w:tc>
          <w:tcPr>
            <w:tcW w:w="5284" w:type="dxa"/>
            <w:vAlign w:val="center"/>
          </w:tcPr>
          <w:p>
            <w:pPr>
              <w:spacing w:line="460" w:lineRule="exact"/>
              <w:ind w:firstLine="0" w:firstLineChars="0"/>
              <w:jc w:val="center"/>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8" w:type="dxa"/>
            <w:vAlign w:val="center"/>
          </w:tcPr>
          <w:p>
            <w:pPr>
              <w:spacing w:line="460" w:lineRule="exact"/>
              <w:ind w:firstLine="0" w:firstLineChars="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w:t>
            </w:r>
          </w:p>
        </w:tc>
        <w:tc>
          <w:tcPr>
            <w:tcW w:w="2794" w:type="dxa"/>
            <w:vAlign w:val="center"/>
          </w:tcPr>
          <w:p>
            <w:pPr>
              <w:spacing w:line="460" w:lineRule="exact"/>
              <w:ind w:firstLine="0"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委托人</w:t>
            </w:r>
          </w:p>
        </w:tc>
        <w:tc>
          <w:tcPr>
            <w:tcW w:w="5284" w:type="dxa"/>
            <w:vAlign w:val="center"/>
          </w:tcPr>
          <w:p>
            <w:pPr>
              <w:spacing w:line="460" w:lineRule="exact"/>
              <w:ind w:firstLine="0"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滨州海警局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8" w:type="dxa"/>
            <w:vAlign w:val="center"/>
          </w:tcPr>
          <w:p>
            <w:pPr>
              <w:spacing w:line="460" w:lineRule="exact"/>
              <w:ind w:firstLine="0" w:firstLineChars="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2</w:t>
            </w:r>
          </w:p>
        </w:tc>
        <w:tc>
          <w:tcPr>
            <w:tcW w:w="2794" w:type="dxa"/>
            <w:vAlign w:val="center"/>
          </w:tcPr>
          <w:p>
            <w:pPr>
              <w:spacing w:line="460" w:lineRule="exact"/>
              <w:ind w:firstLine="0"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代理机构</w:t>
            </w:r>
          </w:p>
        </w:tc>
        <w:tc>
          <w:tcPr>
            <w:tcW w:w="5284" w:type="dxa"/>
            <w:vAlign w:val="center"/>
          </w:tcPr>
          <w:p>
            <w:pPr>
              <w:spacing w:line="460" w:lineRule="exact"/>
              <w:ind w:firstLine="0"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山东功致拍卖有限公司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8" w:type="dxa"/>
            <w:vAlign w:val="center"/>
          </w:tcPr>
          <w:p>
            <w:pPr>
              <w:spacing w:line="460" w:lineRule="exact"/>
              <w:ind w:firstLine="0" w:firstLineChars="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3</w:t>
            </w:r>
          </w:p>
        </w:tc>
        <w:tc>
          <w:tcPr>
            <w:tcW w:w="2794" w:type="dxa"/>
            <w:vAlign w:val="center"/>
          </w:tcPr>
          <w:p>
            <w:pPr>
              <w:spacing w:line="460" w:lineRule="exact"/>
              <w:ind w:firstLine="0" w:firstLineChars="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竞买保证金</w:t>
            </w:r>
          </w:p>
        </w:tc>
        <w:tc>
          <w:tcPr>
            <w:tcW w:w="5284" w:type="dxa"/>
            <w:vAlign w:val="center"/>
          </w:tcPr>
          <w:p>
            <w:pPr>
              <w:spacing w:line="360" w:lineRule="auto"/>
              <w:ind w:firstLine="0"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1、交纳竞买保证金是获得竞买资格的前提条件；</w:t>
            </w:r>
          </w:p>
          <w:p>
            <w:pPr>
              <w:spacing w:line="360" w:lineRule="auto"/>
              <w:ind w:left="240" w:hanging="240" w:hangingChars="100"/>
              <w:rPr>
                <w:rFonts w:ascii="Times New Roman" w:hAnsi="Times New Roman" w:eastAsia="宋体" w:cs="Times New Roman"/>
                <w:sz w:val="24"/>
                <w:szCs w:val="24"/>
              </w:rPr>
            </w:pPr>
            <w:r>
              <w:rPr>
                <w:rFonts w:hint="eastAsia" w:ascii="Times New Roman" w:hAnsi="Times New Roman" w:eastAsia="宋体" w:cs="Times New Roman"/>
                <w:sz w:val="24"/>
                <w:szCs w:val="24"/>
              </w:rPr>
              <w:t>2、竞买保证金：</w:t>
            </w:r>
          </w:p>
          <w:p>
            <w:pPr>
              <w:spacing w:line="360" w:lineRule="auto"/>
              <w:ind w:left="240" w:hanging="240" w:hangingChars="100"/>
              <w:rPr>
                <w:rFonts w:ascii="Times New Roman" w:hAnsi="Times New Roman" w:eastAsia="宋体" w:cs="Times New Roman"/>
                <w:sz w:val="24"/>
                <w:szCs w:val="24"/>
              </w:rPr>
            </w:pPr>
            <w:r>
              <w:rPr>
                <w:rFonts w:hint="eastAsia" w:ascii="Times New Roman" w:hAnsi="Times New Roman" w:eastAsia="宋体" w:cs="Times New Roman"/>
                <w:sz w:val="24"/>
                <w:szCs w:val="24"/>
              </w:rPr>
              <w:t>1号标的</w:t>
            </w:r>
            <w:r>
              <w:rPr>
                <w:rFonts w:hint="eastAsia" w:ascii="宋体" w:hAnsi="宋体"/>
                <w:sz w:val="24"/>
                <w:szCs w:val="24"/>
              </w:rPr>
              <w:t>锌锭</w:t>
            </w:r>
            <w:r>
              <w:rPr>
                <w:rFonts w:hint="eastAsia" w:ascii="Times New Roman" w:hAnsi="Times New Roman" w:eastAsia="宋体" w:cs="Times New Roman"/>
                <w:sz w:val="24"/>
                <w:szCs w:val="24"/>
              </w:rPr>
              <w:t>2</w:t>
            </w:r>
            <w:r>
              <w:rPr>
                <w:rFonts w:ascii="Times New Roman" w:hAnsi="Times New Roman" w:eastAsia="宋体" w:cs="Times New Roman"/>
                <w:sz w:val="24"/>
                <w:szCs w:val="24"/>
              </w:rPr>
              <w:t>0万元</w:t>
            </w:r>
            <w:r>
              <w:rPr>
                <w:rFonts w:hint="eastAsia" w:ascii="Times New Roman" w:hAnsi="Times New Roman" w:eastAsia="宋体" w:cs="Times New Roman"/>
                <w:sz w:val="24"/>
                <w:szCs w:val="24"/>
              </w:rPr>
              <w:t>；</w:t>
            </w:r>
          </w:p>
          <w:p>
            <w:pPr>
              <w:spacing w:line="360" w:lineRule="auto"/>
              <w:ind w:left="240" w:hanging="240" w:hangingChars="100"/>
              <w:rPr>
                <w:rFonts w:ascii="Times New Roman" w:hAnsi="Times New Roman" w:eastAsia="宋体" w:cs="Times New Roman"/>
                <w:sz w:val="24"/>
                <w:szCs w:val="24"/>
              </w:rPr>
            </w:pPr>
            <w:r>
              <w:rPr>
                <w:rFonts w:hint="eastAsia" w:ascii="Times New Roman" w:hAnsi="Times New Roman" w:eastAsia="宋体" w:cs="Times New Roman"/>
                <w:sz w:val="24"/>
                <w:szCs w:val="24"/>
              </w:rPr>
              <w:t>2号标的再生铅锑合金（铅制品）800万元；</w:t>
            </w:r>
          </w:p>
          <w:p>
            <w:pPr>
              <w:spacing w:line="360" w:lineRule="auto"/>
              <w:ind w:left="240" w:hanging="240" w:hangingChars="100"/>
              <w:rPr>
                <w:rFonts w:ascii="Cambria" w:hAnsi="Cambria" w:eastAsia="宋体" w:cs="Times New Roman"/>
                <w:sz w:val="24"/>
                <w:szCs w:val="24"/>
              </w:rPr>
            </w:pPr>
            <w:r>
              <w:rPr>
                <w:rFonts w:hint="eastAsia" w:ascii="Times New Roman" w:hAnsi="Times New Roman" w:eastAsia="宋体" w:cs="Times New Roman"/>
                <w:sz w:val="24"/>
                <w:szCs w:val="24"/>
              </w:rPr>
              <w:t>3号标的</w:t>
            </w:r>
            <w:r>
              <w:rPr>
                <w:rFonts w:hint="eastAsia" w:ascii="宋体" w:hAnsi="宋体"/>
                <w:bCs/>
                <w:sz w:val="24"/>
                <w:szCs w:val="24"/>
              </w:rPr>
              <w:t>铅精矿（粉）</w:t>
            </w:r>
            <w:r>
              <w:rPr>
                <w:rFonts w:hint="eastAsia" w:ascii="Cambria" w:hAnsi="Cambria"/>
                <w:bCs/>
                <w:sz w:val="24"/>
                <w:szCs w:val="24"/>
              </w:rPr>
              <w:t>1000</w:t>
            </w:r>
            <w:r>
              <w:rPr>
                <w:rFonts w:hint="eastAsia" w:ascii="宋体" w:hAnsi="宋体" w:eastAsia="宋体"/>
                <w:bCs/>
                <w:sz w:val="24"/>
                <w:szCs w:val="24"/>
              </w:rPr>
              <w:t>万元。</w:t>
            </w:r>
          </w:p>
          <w:p>
            <w:pPr>
              <w:spacing w:line="360" w:lineRule="auto"/>
              <w:ind w:left="240" w:hanging="240" w:hangingChars="100"/>
              <w:rPr>
                <w:rFonts w:ascii="Times New Roman" w:hAnsi="Times New Roman" w:eastAsia="宋体" w:cs="Times New Roman"/>
                <w:sz w:val="24"/>
                <w:szCs w:val="24"/>
              </w:rPr>
            </w:pPr>
            <w:r>
              <w:rPr>
                <w:rFonts w:hint="eastAsia" w:ascii="Times New Roman" w:hAnsi="Times New Roman" w:eastAsia="宋体" w:cs="Times New Roman"/>
                <w:sz w:val="24"/>
                <w:szCs w:val="24"/>
              </w:rPr>
              <w:t>请于2024年6月10日17时前汇至以下银行账户：</w:t>
            </w:r>
          </w:p>
          <w:p>
            <w:pPr>
              <w:spacing w:line="360" w:lineRule="auto"/>
              <w:ind w:firstLine="0"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开户名：山东功致拍卖有限公司</w:t>
            </w:r>
          </w:p>
          <w:p>
            <w:pPr>
              <w:spacing w:line="360" w:lineRule="auto"/>
              <w:ind w:firstLine="0"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开户行：招商银行济南开元支行</w:t>
            </w:r>
          </w:p>
          <w:p>
            <w:pPr>
              <w:spacing w:line="360" w:lineRule="auto"/>
              <w:ind w:firstLine="0"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账 </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号：</w:t>
            </w:r>
            <w:r>
              <w:rPr>
                <w:rFonts w:ascii="Times New Roman" w:hAnsi="Times New Roman" w:eastAsia="宋体" w:cs="Times New Roman"/>
                <w:sz w:val="24"/>
                <w:szCs w:val="24"/>
              </w:rPr>
              <w:t>531907658310901</w:t>
            </w:r>
          </w:p>
          <w:p>
            <w:pPr>
              <w:spacing w:line="360" w:lineRule="auto"/>
              <w:ind w:firstLine="0"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3、未成交的，于拍卖会结束后5个工作日内将竞买保证金全额退还竞买人。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8" w:type="dxa"/>
            <w:vAlign w:val="center"/>
          </w:tcPr>
          <w:p>
            <w:pPr>
              <w:spacing w:line="460" w:lineRule="exact"/>
              <w:ind w:firstLine="0" w:firstLineChars="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c>
          <w:tcPr>
            <w:tcW w:w="2794" w:type="dxa"/>
            <w:vAlign w:val="center"/>
          </w:tcPr>
          <w:p>
            <w:pPr>
              <w:spacing w:line="460" w:lineRule="exact"/>
              <w:ind w:firstLine="0" w:firstLineChars="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竞买人登记报名</w:t>
            </w:r>
          </w:p>
        </w:tc>
        <w:tc>
          <w:tcPr>
            <w:tcW w:w="5284" w:type="dxa"/>
            <w:vAlign w:val="center"/>
          </w:tcPr>
          <w:p>
            <w:pPr>
              <w:spacing w:line="360" w:lineRule="auto"/>
              <w:ind w:firstLine="0"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1、竞买人登记是获得竞买资格的前提条件；</w:t>
            </w:r>
          </w:p>
          <w:p>
            <w:pPr>
              <w:spacing w:line="360" w:lineRule="auto"/>
              <w:ind w:firstLine="0" w:firstLineChars="0"/>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eastAsia" w:ascii="Times New Roman" w:hAnsi="Times New Roman" w:eastAsia="宋体" w:cs="Times New Roman"/>
                <w:sz w:val="24"/>
                <w:szCs w:val="24"/>
              </w:rPr>
              <w:t>、竞买人须提供以下证明材料办理登记：</w:t>
            </w:r>
          </w:p>
          <w:p>
            <w:pPr>
              <w:tabs>
                <w:tab w:val="right" w:leader="dot" w:pos="9071"/>
              </w:tabs>
              <w:spacing w:line="360" w:lineRule="auto"/>
              <w:ind w:firstLine="0"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法人或其他组织：提交营业执照副本（三证合一）、法定代表人身份证、授权委托书、授权代理人身份证(复印件加盖公章)、竞价保证金打款凭证、竞价保证金退付表。</w:t>
            </w:r>
          </w:p>
          <w:p>
            <w:pPr>
              <w:tabs>
                <w:tab w:val="right" w:leader="dot" w:pos="9071"/>
              </w:tabs>
              <w:spacing w:line="360" w:lineRule="auto"/>
              <w:ind w:firstLine="0"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自然人：身份证复印件，并提交竞价保证金打款凭证、竞价保证金退付表。</w:t>
            </w:r>
          </w:p>
          <w:p>
            <w:pPr>
              <w:tabs>
                <w:tab w:val="right" w:leader="dot" w:pos="9071"/>
              </w:tabs>
              <w:spacing w:line="360" w:lineRule="auto"/>
              <w:ind w:firstLine="0" w:firstLineChars="0"/>
              <w:rPr>
                <w:rFonts w:ascii="Times New Roman" w:hAnsi="Times New Roman" w:eastAsia="宋体" w:cs="Times New Roman"/>
                <w:sz w:val="24"/>
                <w:szCs w:val="24"/>
              </w:rPr>
            </w:pPr>
            <w:r>
              <w:rPr>
                <w:rFonts w:ascii="Times New Roman" w:hAnsi="Times New Roman" w:eastAsia="宋体" w:cs="Times New Roman"/>
                <w:sz w:val="24"/>
                <w:szCs w:val="24"/>
              </w:rPr>
              <w:t>3</w:t>
            </w:r>
            <w:r>
              <w:rPr>
                <w:rFonts w:hint="eastAsia" w:ascii="Times New Roman" w:hAnsi="Times New Roman" w:eastAsia="宋体" w:cs="Times New Roman"/>
                <w:sz w:val="24"/>
                <w:szCs w:val="24"/>
              </w:rPr>
              <w:t>、签署</w:t>
            </w:r>
            <w:r>
              <w:fldChar w:fldCharType="begin"/>
            </w:r>
            <w:r>
              <w:instrText xml:space="preserve"> HYPERLINK \l "_Toc25401" </w:instrText>
            </w:r>
            <w:r>
              <w:fldChar w:fldCharType="separate"/>
            </w:r>
            <w:r>
              <w:rPr>
                <w:rFonts w:hint="eastAsia" w:ascii="Times New Roman" w:hAnsi="Times New Roman" w:eastAsia="宋体" w:cs="Times New Roman"/>
                <w:sz w:val="24"/>
                <w:szCs w:val="24"/>
              </w:rPr>
              <w:t>承诺书</w:t>
            </w:r>
            <w:r>
              <w:rPr>
                <w:rFonts w:hint="eastAsia" w:ascii="Times New Roman" w:hAnsi="Times New Roman" w:eastAsia="宋体" w:cs="Times New Roman"/>
                <w:sz w:val="24"/>
                <w:szCs w:val="24"/>
              </w:rPr>
              <w:fldChar w:fldCharType="end"/>
            </w:r>
            <w:r>
              <w:fldChar w:fldCharType="begin"/>
            </w:r>
            <w:r>
              <w:instrText xml:space="preserve"> HYPERLINK \l "_Toc8268" </w:instrText>
            </w:r>
            <w:r>
              <w:fldChar w:fldCharType="separate"/>
            </w:r>
            <w:r>
              <w:rPr>
                <w:rFonts w:hint="eastAsia"/>
              </w:rPr>
              <w:t>、</w:t>
            </w:r>
            <w:r>
              <w:rPr>
                <w:rFonts w:hint="eastAsia" w:ascii="Times New Roman" w:hAnsi="Times New Roman" w:eastAsia="宋体" w:cs="Times New Roman"/>
                <w:sz w:val="24"/>
                <w:szCs w:val="24"/>
              </w:rPr>
              <w:t>竞买协议</w:t>
            </w:r>
            <w:r>
              <w:rPr>
                <w:rFonts w:hint="eastAsia" w:ascii="Times New Roman" w:hAnsi="Times New Roman" w:eastAsia="宋体" w:cs="Times New Roman"/>
                <w:sz w:val="24"/>
                <w:szCs w:val="24"/>
              </w:rPr>
              <w:fldChar w:fldCharType="end"/>
            </w:r>
            <w:r>
              <w:rPr>
                <w:rFonts w:hint="eastAsia" w:ascii="Times New Roman" w:hAnsi="Times New Roman" w:eastAsia="宋体" w:cs="Times New Roman"/>
                <w:sz w:val="24"/>
                <w:szCs w:val="24"/>
              </w:rPr>
              <w:t>等。</w:t>
            </w:r>
          </w:p>
          <w:p>
            <w:pPr>
              <w:tabs>
                <w:tab w:val="right" w:leader="dot" w:pos="9071"/>
              </w:tabs>
              <w:spacing w:line="360" w:lineRule="auto"/>
              <w:ind w:firstLine="0"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4、竞买人应当具备完全民事能力，法律行政法规和司法解释对买受人资格或者条件有特殊规定的，竞买人应当具备规定的资格或者条件，办理竞买登记时一并提供相关证明文件。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8" w:hRule="atLeast"/>
          <w:jc w:val="center"/>
        </w:trPr>
        <w:tc>
          <w:tcPr>
            <w:tcW w:w="708" w:type="dxa"/>
            <w:vAlign w:val="center"/>
          </w:tcPr>
          <w:p>
            <w:pPr>
              <w:spacing w:line="460" w:lineRule="exact"/>
              <w:ind w:firstLine="0" w:firstLineChars="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5</w:t>
            </w:r>
          </w:p>
        </w:tc>
        <w:tc>
          <w:tcPr>
            <w:tcW w:w="2794" w:type="dxa"/>
            <w:vAlign w:val="center"/>
          </w:tcPr>
          <w:p>
            <w:pPr>
              <w:spacing w:line="460" w:lineRule="exact"/>
              <w:ind w:firstLine="0" w:firstLineChars="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竞价方式</w:t>
            </w:r>
          </w:p>
        </w:tc>
        <w:tc>
          <w:tcPr>
            <w:tcW w:w="5284" w:type="dxa"/>
            <w:vAlign w:val="center"/>
          </w:tcPr>
          <w:p>
            <w:pPr>
              <w:spacing w:line="460" w:lineRule="exact"/>
              <w:ind w:firstLine="0" w:firstLineChars="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采用网络竞价方式，在山东省公共资源交易资产及权益公开处置系统举行，网址http://ggzyjyzx.shandong.gov.cn，登录方式：网站首页-平台入口-权益类–资产处置-账号登录。竞价人应于竞价前注册完毕网络竞价账号，随机获得竞价号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8" w:type="dxa"/>
            <w:vAlign w:val="center"/>
          </w:tcPr>
          <w:p>
            <w:pPr>
              <w:spacing w:line="460" w:lineRule="exact"/>
              <w:ind w:firstLine="0" w:firstLineChars="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6</w:t>
            </w:r>
          </w:p>
        </w:tc>
        <w:tc>
          <w:tcPr>
            <w:tcW w:w="2794" w:type="dxa"/>
            <w:vAlign w:val="center"/>
          </w:tcPr>
          <w:p>
            <w:pPr>
              <w:spacing w:line="460" w:lineRule="exact"/>
              <w:ind w:firstLine="0" w:firstLineChars="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网络竞价账号注册</w:t>
            </w:r>
          </w:p>
        </w:tc>
        <w:tc>
          <w:tcPr>
            <w:tcW w:w="5284" w:type="dxa"/>
            <w:vAlign w:val="center"/>
          </w:tcPr>
          <w:p>
            <w:pPr>
              <w:spacing w:line="460" w:lineRule="exact"/>
              <w:ind w:firstLine="0"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自行注册。由工作人员代为注册的，竞买人应及时修改密码，注意账号保管。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8" w:type="dxa"/>
            <w:vAlign w:val="center"/>
          </w:tcPr>
          <w:p>
            <w:pPr>
              <w:spacing w:line="460" w:lineRule="exact"/>
              <w:ind w:firstLine="0" w:firstLineChars="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7</w:t>
            </w:r>
          </w:p>
        </w:tc>
        <w:tc>
          <w:tcPr>
            <w:tcW w:w="2794" w:type="dxa"/>
            <w:vAlign w:val="center"/>
          </w:tcPr>
          <w:p>
            <w:pPr>
              <w:spacing w:line="460" w:lineRule="exact"/>
              <w:ind w:firstLine="0" w:firstLineChars="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竞价操作</w:t>
            </w:r>
          </w:p>
        </w:tc>
        <w:tc>
          <w:tcPr>
            <w:tcW w:w="5284" w:type="dxa"/>
            <w:vAlign w:val="center"/>
          </w:tcPr>
          <w:p>
            <w:pPr>
              <w:numPr>
                <w:ilvl w:val="255"/>
                <w:numId w:val="0"/>
              </w:numPr>
              <w:spacing w:line="460" w:lineRule="exact"/>
              <w:rPr>
                <w:rFonts w:ascii="Times New Roman" w:hAnsi="Times New Roman" w:eastAsia="宋体" w:cs="Times New Roman"/>
                <w:sz w:val="24"/>
                <w:szCs w:val="24"/>
              </w:rPr>
            </w:pPr>
            <w:r>
              <w:rPr>
                <w:rFonts w:hint="eastAsia" w:ascii="Times New Roman" w:hAnsi="Times New Roman" w:eastAsia="宋体" w:cs="Times New Roman"/>
                <w:sz w:val="24"/>
                <w:szCs w:val="24"/>
              </w:rPr>
              <w:t>1、竞买人应在拍卖文件规定的时间登录系统进行竞价操作。</w:t>
            </w:r>
          </w:p>
          <w:p>
            <w:pPr>
              <w:numPr>
                <w:ilvl w:val="255"/>
                <w:numId w:val="0"/>
              </w:numPr>
              <w:spacing w:line="460" w:lineRule="exact"/>
              <w:rPr>
                <w:rFonts w:ascii="Times New Roman" w:hAnsi="Times New Roman" w:eastAsia="宋体" w:cs="Times New Roman"/>
                <w:sz w:val="24"/>
                <w:szCs w:val="24"/>
              </w:rPr>
            </w:pPr>
            <w:r>
              <w:rPr>
                <w:rFonts w:hint="eastAsia" w:ascii="Times New Roman" w:hAnsi="Times New Roman" w:eastAsia="宋体" w:cs="Times New Roman"/>
                <w:sz w:val="24"/>
                <w:szCs w:val="24"/>
              </w:rPr>
              <w:t>2、竞买人应对自己的账号和密码进行保密，在系统上以竞买人的帐号和密码登录后进行的操作，均被视为竞买人的行为，竞买人应当对以其帐号进行的所有活动和事件负法律责任。</w:t>
            </w:r>
          </w:p>
          <w:p>
            <w:pPr>
              <w:numPr>
                <w:ilvl w:val="255"/>
                <w:numId w:val="0"/>
              </w:numPr>
              <w:spacing w:line="460" w:lineRule="exact"/>
              <w:rPr>
                <w:rFonts w:ascii="Times New Roman" w:hAnsi="Times New Roman" w:eastAsia="宋体" w:cs="Times New Roman"/>
                <w:sz w:val="24"/>
                <w:szCs w:val="24"/>
              </w:rPr>
            </w:pPr>
            <w:r>
              <w:rPr>
                <w:rFonts w:hint="eastAsia" w:ascii="Times New Roman" w:hAnsi="Times New Roman" w:eastAsia="宋体" w:cs="Times New Roman"/>
                <w:sz w:val="24"/>
                <w:szCs w:val="24"/>
              </w:rPr>
              <w:t>3、竞买人按照系统提示的起拍价进行出价，按照每次的增价幅度或者增价幅度的整数倍进行竞价。</w:t>
            </w:r>
          </w:p>
          <w:p>
            <w:pPr>
              <w:numPr>
                <w:ilvl w:val="255"/>
                <w:numId w:val="0"/>
              </w:numPr>
              <w:spacing w:line="460" w:lineRule="exact"/>
              <w:rPr>
                <w:rFonts w:ascii="Times New Roman" w:hAnsi="Times New Roman" w:eastAsia="宋体" w:cs="Times New Roman"/>
                <w:sz w:val="24"/>
                <w:szCs w:val="24"/>
              </w:rPr>
            </w:pPr>
            <w:r>
              <w:rPr>
                <w:rFonts w:hint="eastAsia" w:ascii="Times New Roman" w:hAnsi="Times New Roman" w:eastAsia="宋体" w:cs="Times New Roman"/>
                <w:sz w:val="24"/>
                <w:szCs w:val="24"/>
              </w:rPr>
              <w:t>4、竞买人报价金额的币种仅限为人民币，报价前须仔细核对报价金额及单位，确认无误后方可出价。</w:t>
            </w:r>
          </w:p>
          <w:p>
            <w:pPr>
              <w:numPr>
                <w:ilvl w:val="255"/>
                <w:numId w:val="0"/>
              </w:numPr>
              <w:spacing w:line="460" w:lineRule="exact"/>
              <w:rPr>
                <w:rFonts w:ascii="Times New Roman" w:hAnsi="Times New Roman" w:eastAsia="宋体" w:cs="Times New Roman"/>
                <w:sz w:val="24"/>
                <w:szCs w:val="24"/>
              </w:rPr>
            </w:pPr>
            <w:r>
              <w:rPr>
                <w:rFonts w:hint="eastAsia" w:ascii="Times New Roman" w:hAnsi="Times New Roman" w:eastAsia="宋体" w:cs="Times New Roman"/>
                <w:sz w:val="24"/>
                <w:szCs w:val="24"/>
              </w:rPr>
              <w:t>5、竞买人一经确认报价，系统均有记录，不得撤回或撤销，但认定误操作的报价除外。</w:t>
            </w:r>
          </w:p>
          <w:p>
            <w:pPr>
              <w:numPr>
                <w:ilvl w:val="255"/>
                <w:numId w:val="0"/>
              </w:numPr>
              <w:spacing w:line="460" w:lineRule="exact"/>
              <w:rPr>
                <w:rFonts w:ascii="Times New Roman" w:hAnsi="Times New Roman" w:eastAsia="宋体" w:cs="Times New Roman"/>
                <w:sz w:val="24"/>
                <w:szCs w:val="24"/>
              </w:rPr>
            </w:pPr>
            <w:r>
              <w:rPr>
                <w:rFonts w:hint="eastAsia" w:ascii="Times New Roman" w:hAnsi="Times New Roman" w:eastAsia="宋体" w:cs="Times New Roman"/>
                <w:sz w:val="24"/>
                <w:szCs w:val="24"/>
              </w:rPr>
              <w:t>6、竞买人的最高报价经系统确认后，成为本项目买受人。</w:t>
            </w:r>
          </w:p>
          <w:p>
            <w:pPr>
              <w:numPr>
                <w:ilvl w:val="255"/>
                <w:numId w:val="0"/>
              </w:numPr>
              <w:spacing w:line="460" w:lineRule="exact"/>
              <w:rPr>
                <w:rFonts w:ascii="Times New Roman" w:hAnsi="Times New Roman" w:eastAsia="宋体" w:cs="Times New Roman"/>
                <w:sz w:val="24"/>
                <w:szCs w:val="24"/>
              </w:rPr>
            </w:pPr>
            <w:r>
              <w:rPr>
                <w:rFonts w:hint="eastAsia" w:ascii="Times New Roman" w:hAnsi="Times New Roman" w:eastAsia="宋体" w:cs="Times New Roman"/>
                <w:sz w:val="24"/>
                <w:szCs w:val="24"/>
              </w:rPr>
              <w:t>7、竞买人不得扰乱竞价秩序，更不得恶意串通，影响或操纵其他竞买人竞价，如有发现将取消其竞价资格，没收竞买保证金，并追究其相应的法律责任。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8" w:type="dxa"/>
            <w:vAlign w:val="center"/>
          </w:tcPr>
          <w:p>
            <w:pPr>
              <w:spacing w:line="460" w:lineRule="exact"/>
              <w:ind w:firstLine="0" w:firstLineChars="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8</w:t>
            </w:r>
          </w:p>
        </w:tc>
        <w:tc>
          <w:tcPr>
            <w:tcW w:w="2794" w:type="dxa"/>
            <w:vAlign w:val="center"/>
          </w:tcPr>
          <w:p>
            <w:pPr>
              <w:spacing w:line="460" w:lineRule="exact"/>
              <w:ind w:firstLine="0" w:firstLineChars="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是否允许联合体竞价</w:t>
            </w:r>
          </w:p>
        </w:tc>
        <w:tc>
          <w:tcPr>
            <w:tcW w:w="5284" w:type="dxa"/>
            <w:vAlign w:val="center"/>
          </w:tcPr>
          <w:p>
            <w:pPr>
              <w:spacing w:line="460" w:lineRule="exact"/>
              <w:ind w:firstLine="0"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8" w:type="dxa"/>
            <w:vAlign w:val="center"/>
          </w:tcPr>
          <w:p>
            <w:pPr>
              <w:spacing w:line="460" w:lineRule="exact"/>
              <w:ind w:firstLine="0" w:firstLineChars="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9</w:t>
            </w:r>
          </w:p>
        </w:tc>
        <w:tc>
          <w:tcPr>
            <w:tcW w:w="2794" w:type="dxa"/>
            <w:vAlign w:val="center"/>
          </w:tcPr>
          <w:p>
            <w:pPr>
              <w:spacing w:line="460" w:lineRule="exact"/>
              <w:ind w:firstLine="0" w:firstLineChars="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标的展示</w:t>
            </w:r>
          </w:p>
        </w:tc>
        <w:tc>
          <w:tcPr>
            <w:tcW w:w="5284" w:type="dxa"/>
            <w:vAlign w:val="center"/>
          </w:tcPr>
          <w:p>
            <w:pPr>
              <w:spacing w:line="460" w:lineRule="exact"/>
              <w:ind w:firstLine="0" w:firstLineChars="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1、时间：</w:t>
            </w:r>
            <w:r>
              <w:rPr>
                <w:rFonts w:ascii="Times New Roman" w:hAnsi="Times New Roman" w:eastAsia="宋体" w:cs="Times New Roman"/>
                <w:sz w:val="24"/>
                <w:szCs w:val="24"/>
              </w:rPr>
              <w:t>2024年6月9日9时起至2024年6月10日16时</w:t>
            </w:r>
            <w:r>
              <w:rPr>
                <w:rFonts w:hint="eastAsia" w:ascii="Times New Roman" w:hAnsi="Times New Roman" w:eastAsia="宋体" w:cs="Times New Roman"/>
                <w:sz w:val="24"/>
                <w:szCs w:val="24"/>
              </w:rPr>
              <w:t>（北京时间）；</w:t>
            </w:r>
          </w:p>
          <w:p>
            <w:pPr>
              <w:spacing w:line="460" w:lineRule="exact"/>
              <w:ind w:firstLine="0" w:firstLineChars="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2、联系代理机构到标的现场进行勘察；</w:t>
            </w:r>
          </w:p>
          <w:p>
            <w:pPr>
              <w:spacing w:line="460" w:lineRule="exact"/>
              <w:ind w:firstLine="0" w:firstLineChars="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3、标的以公开展示时的现状为准。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8" w:type="dxa"/>
            <w:vAlign w:val="center"/>
          </w:tcPr>
          <w:p>
            <w:pPr>
              <w:spacing w:line="420" w:lineRule="exact"/>
              <w:ind w:firstLine="0" w:firstLineChars="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0</w:t>
            </w:r>
          </w:p>
        </w:tc>
        <w:tc>
          <w:tcPr>
            <w:tcW w:w="2794" w:type="dxa"/>
            <w:vAlign w:val="center"/>
          </w:tcPr>
          <w:p>
            <w:pPr>
              <w:spacing w:line="420" w:lineRule="exact"/>
              <w:ind w:firstLine="0" w:firstLineChars="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优先权人是否放弃优先购买权</w:t>
            </w:r>
          </w:p>
        </w:tc>
        <w:tc>
          <w:tcPr>
            <w:tcW w:w="5284" w:type="dxa"/>
            <w:vAlign w:val="center"/>
          </w:tcPr>
          <w:p>
            <w:pPr>
              <w:spacing w:line="460" w:lineRule="exact"/>
              <w:ind w:firstLine="0"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8" w:type="dxa"/>
            <w:vAlign w:val="center"/>
          </w:tcPr>
          <w:p>
            <w:pPr>
              <w:spacing w:line="460" w:lineRule="exact"/>
              <w:ind w:firstLine="0" w:firstLineChars="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1</w:t>
            </w:r>
          </w:p>
        </w:tc>
        <w:tc>
          <w:tcPr>
            <w:tcW w:w="2794" w:type="dxa"/>
            <w:vAlign w:val="center"/>
          </w:tcPr>
          <w:p>
            <w:pPr>
              <w:spacing w:line="460" w:lineRule="exact"/>
              <w:ind w:firstLine="0" w:firstLineChars="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起拍价</w:t>
            </w:r>
          </w:p>
        </w:tc>
        <w:tc>
          <w:tcPr>
            <w:tcW w:w="5284" w:type="dxa"/>
            <w:vAlign w:val="center"/>
          </w:tcPr>
          <w:p>
            <w:pPr>
              <w:spacing w:line="360" w:lineRule="auto"/>
              <w:ind w:left="240" w:hanging="240" w:hangingChars="100"/>
              <w:rPr>
                <w:rFonts w:ascii="Times New Roman" w:hAnsi="Times New Roman" w:eastAsia="宋体" w:cs="Times New Roman"/>
                <w:sz w:val="24"/>
                <w:szCs w:val="24"/>
              </w:rPr>
            </w:pPr>
            <w:r>
              <w:rPr>
                <w:rFonts w:hint="eastAsia" w:ascii="Times New Roman" w:hAnsi="Times New Roman" w:eastAsia="宋体" w:cs="Times New Roman"/>
                <w:sz w:val="24"/>
                <w:szCs w:val="24"/>
              </w:rPr>
              <w:t>1号标的</w:t>
            </w:r>
            <w:r>
              <w:rPr>
                <w:rFonts w:hint="eastAsia" w:ascii="宋体" w:hAnsi="宋体"/>
                <w:sz w:val="24"/>
                <w:szCs w:val="24"/>
              </w:rPr>
              <w:t>锌锭</w:t>
            </w:r>
            <w:r>
              <w:rPr>
                <w:rFonts w:hint="eastAsia" w:ascii="宋体" w:hAnsi="宋体"/>
                <w:color w:val="000000"/>
                <w:kern w:val="0"/>
                <w:sz w:val="24"/>
                <w:szCs w:val="24"/>
              </w:rPr>
              <w:t>247999.15元</w:t>
            </w:r>
            <w:r>
              <w:rPr>
                <w:rFonts w:hint="eastAsia" w:ascii="Times New Roman" w:hAnsi="Times New Roman" w:eastAsia="宋体" w:cs="Times New Roman"/>
                <w:sz w:val="24"/>
                <w:szCs w:val="24"/>
              </w:rPr>
              <w:t>；</w:t>
            </w:r>
          </w:p>
          <w:p>
            <w:pPr>
              <w:spacing w:line="360" w:lineRule="auto"/>
              <w:ind w:left="240" w:hanging="240" w:hangingChars="100"/>
              <w:rPr>
                <w:rFonts w:ascii="Times New Roman" w:hAnsi="Times New Roman" w:eastAsia="宋体" w:cs="Times New Roman"/>
                <w:sz w:val="24"/>
                <w:szCs w:val="24"/>
              </w:rPr>
            </w:pPr>
            <w:r>
              <w:rPr>
                <w:rFonts w:hint="eastAsia" w:ascii="Times New Roman" w:hAnsi="Times New Roman" w:eastAsia="宋体" w:cs="Times New Roman"/>
                <w:sz w:val="24"/>
                <w:szCs w:val="24"/>
              </w:rPr>
              <w:t>2号标的再生铅锑合金（铅制品）</w:t>
            </w:r>
            <w:r>
              <w:rPr>
                <w:rFonts w:hint="eastAsia" w:ascii="宋体" w:hAnsi="宋体"/>
                <w:bCs/>
                <w:sz w:val="24"/>
                <w:szCs w:val="24"/>
              </w:rPr>
              <w:t>8399241.22元</w:t>
            </w:r>
            <w:r>
              <w:rPr>
                <w:rFonts w:hint="eastAsia" w:ascii="Times New Roman" w:hAnsi="Times New Roman" w:eastAsia="宋体" w:cs="Times New Roman"/>
                <w:sz w:val="24"/>
                <w:szCs w:val="24"/>
              </w:rPr>
              <w:t>；</w:t>
            </w:r>
          </w:p>
          <w:p>
            <w:pPr>
              <w:spacing w:line="360" w:lineRule="auto"/>
              <w:ind w:left="240" w:hanging="240" w:hangingChars="100"/>
              <w:rPr>
                <w:rFonts w:ascii="Cambria" w:hAnsi="Cambria" w:eastAsia="宋体" w:cs="Times New Roman"/>
                <w:sz w:val="24"/>
                <w:szCs w:val="24"/>
              </w:rPr>
            </w:pPr>
            <w:r>
              <w:rPr>
                <w:rFonts w:hint="eastAsia" w:ascii="Times New Roman" w:hAnsi="Times New Roman" w:eastAsia="宋体" w:cs="Times New Roman"/>
                <w:sz w:val="24"/>
                <w:szCs w:val="24"/>
              </w:rPr>
              <w:t>3号标的</w:t>
            </w:r>
            <w:r>
              <w:rPr>
                <w:rFonts w:hint="eastAsia" w:ascii="宋体" w:hAnsi="宋体"/>
                <w:bCs/>
                <w:sz w:val="24"/>
                <w:szCs w:val="24"/>
              </w:rPr>
              <w:t>铅精矿（粉）13865356.26元</w:t>
            </w:r>
            <w:r>
              <w:rPr>
                <w:rFonts w:hint="eastAsia" w:ascii="宋体" w:hAnsi="宋体" w:eastAsia="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8" w:type="dxa"/>
            <w:vAlign w:val="center"/>
          </w:tcPr>
          <w:p>
            <w:pPr>
              <w:spacing w:line="460" w:lineRule="exact"/>
              <w:ind w:firstLine="0" w:firstLineChars="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2</w:t>
            </w:r>
          </w:p>
        </w:tc>
        <w:tc>
          <w:tcPr>
            <w:tcW w:w="2794" w:type="dxa"/>
            <w:vAlign w:val="center"/>
          </w:tcPr>
          <w:p>
            <w:pPr>
              <w:spacing w:line="460" w:lineRule="exact"/>
              <w:ind w:firstLine="0" w:firstLineChars="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增价幅度</w:t>
            </w:r>
          </w:p>
        </w:tc>
        <w:tc>
          <w:tcPr>
            <w:tcW w:w="5284" w:type="dxa"/>
            <w:vAlign w:val="center"/>
          </w:tcPr>
          <w:p>
            <w:pPr>
              <w:spacing w:line="360" w:lineRule="auto"/>
              <w:ind w:left="240" w:hanging="240" w:hangingChars="100"/>
              <w:rPr>
                <w:rFonts w:ascii="Times New Roman" w:hAnsi="Times New Roman" w:eastAsia="宋体" w:cs="Times New Roman"/>
                <w:sz w:val="24"/>
                <w:szCs w:val="24"/>
              </w:rPr>
            </w:pPr>
            <w:r>
              <w:rPr>
                <w:rFonts w:hint="eastAsia" w:ascii="Times New Roman" w:hAnsi="Times New Roman" w:eastAsia="宋体" w:cs="Times New Roman"/>
                <w:sz w:val="24"/>
                <w:szCs w:val="24"/>
              </w:rPr>
              <w:t>1号标的</w:t>
            </w:r>
            <w:r>
              <w:rPr>
                <w:rFonts w:hint="eastAsia" w:ascii="宋体" w:hAnsi="宋体"/>
                <w:sz w:val="24"/>
                <w:szCs w:val="24"/>
              </w:rPr>
              <w:t>锌锭</w:t>
            </w:r>
            <w:r>
              <w:rPr>
                <w:rFonts w:hint="eastAsia" w:ascii="Cambria" w:hAnsi="Cambria"/>
                <w:color w:val="000000"/>
                <w:kern w:val="0"/>
                <w:sz w:val="24"/>
                <w:szCs w:val="24"/>
              </w:rPr>
              <w:t>5000</w:t>
            </w:r>
            <w:r>
              <w:rPr>
                <w:rFonts w:hint="eastAsia" w:ascii="宋体" w:hAnsi="宋体"/>
                <w:color w:val="000000"/>
                <w:kern w:val="0"/>
                <w:sz w:val="24"/>
                <w:szCs w:val="24"/>
              </w:rPr>
              <w:t>元</w:t>
            </w:r>
            <w:r>
              <w:rPr>
                <w:rFonts w:hint="eastAsia" w:ascii="Times New Roman" w:hAnsi="Times New Roman" w:eastAsia="宋体" w:cs="Times New Roman"/>
                <w:sz w:val="24"/>
                <w:szCs w:val="24"/>
              </w:rPr>
              <w:t>；</w:t>
            </w:r>
          </w:p>
          <w:p>
            <w:pPr>
              <w:spacing w:line="360" w:lineRule="auto"/>
              <w:ind w:left="240" w:hanging="240" w:hangingChars="100"/>
              <w:rPr>
                <w:rFonts w:ascii="Times New Roman" w:hAnsi="Times New Roman" w:eastAsia="宋体" w:cs="Times New Roman"/>
                <w:sz w:val="24"/>
                <w:szCs w:val="24"/>
              </w:rPr>
            </w:pPr>
            <w:r>
              <w:rPr>
                <w:rFonts w:hint="eastAsia" w:ascii="Times New Roman" w:hAnsi="Times New Roman" w:eastAsia="宋体" w:cs="Times New Roman"/>
                <w:sz w:val="24"/>
                <w:szCs w:val="24"/>
              </w:rPr>
              <w:t>2号标的再生铅锑合金（铅制品）</w:t>
            </w:r>
            <w:r>
              <w:rPr>
                <w:rFonts w:hint="eastAsia" w:ascii="Cambria" w:hAnsi="Cambria"/>
                <w:bCs/>
                <w:sz w:val="24"/>
                <w:szCs w:val="24"/>
              </w:rPr>
              <w:t>10000</w:t>
            </w:r>
            <w:r>
              <w:rPr>
                <w:rFonts w:hint="eastAsia" w:ascii="宋体" w:hAnsi="宋体"/>
                <w:bCs/>
                <w:sz w:val="24"/>
                <w:szCs w:val="24"/>
              </w:rPr>
              <w:t>元</w:t>
            </w:r>
            <w:r>
              <w:rPr>
                <w:rFonts w:hint="eastAsia" w:ascii="Times New Roman" w:hAnsi="Times New Roman" w:eastAsia="宋体" w:cs="Times New Roman"/>
                <w:sz w:val="24"/>
                <w:szCs w:val="24"/>
              </w:rPr>
              <w:t>；</w:t>
            </w:r>
          </w:p>
          <w:p>
            <w:pPr>
              <w:spacing w:line="460" w:lineRule="exact"/>
              <w:ind w:firstLine="0"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3号标的</w:t>
            </w:r>
            <w:r>
              <w:rPr>
                <w:rFonts w:hint="eastAsia" w:ascii="宋体" w:hAnsi="宋体"/>
                <w:bCs/>
                <w:sz w:val="24"/>
                <w:szCs w:val="24"/>
              </w:rPr>
              <w:t>铅精矿（粉）</w:t>
            </w:r>
            <w:r>
              <w:rPr>
                <w:rFonts w:hint="eastAsia" w:ascii="Cambria" w:hAnsi="Cambria"/>
                <w:bCs/>
                <w:sz w:val="24"/>
                <w:szCs w:val="24"/>
              </w:rPr>
              <w:t>20000</w:t>
            </w:r>
            <w:r>
              <w:rPr>
                <w:rFonts w:hint="eastAsia" w:ascii="宋体" w:hAnsi="宋体"/>
                <w:bCs/>
                <w:sz w:val="24"/>
                <w:szCs w:val="24"/>
              </w:rPr>
              <w:t>元</w:t>
            </w:r>
            <w:r>
              <w:rPr>
                <w:rFonts w:hint="eastAsia" w:ascii="宋体" w:hAnsi="宋体" w:eastAsia="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8" w:type="dxa"/>
            <w:vAlign w:val="center"/>
          </w:tcPr>
          <w:p>
            <w:pPr>
              <w:spacing w:line="420" w:lineRule="exact"/>
              <w:ind w:firstLine="0" w:firstLineChars="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3</w:t>
            </w:r>
          </w:p>
        </w:tc>
        <w:tc>
          <w:tcPr>
            <w:tcW w:w="2794" w:type="dxa"/>
            <w:vAlign w:val="center"/>
          </w:tcPr>
          <w:p>
            <w:pPr>
              <w:spacing w:line="420" w:lineRule="exact"/>
              <w:ind w:firstLine="0" w:firstLineChars="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竞价延时时间</w:t>
            </w:r>
          </w:p>
        </w:tc>
        <w:tc>
          <w:tcPr>
            <w:tcW w:w="5284" w:type="dxa"/>
            <w:vAlign w:val="center"/>
          </w:tcPr>
          <w:p>
            <w:pPr>
              <w:spacing w:line="420" w:lineRule="exact"/>
              <w:ind w:firstLine="0" w:firstLineChars="0"/>
              <w:jc w:val="left"/>
              <w:rPr>
                <w:rFonts w:ascii="Times New Roman" w:hAnsi="Times New Roman" w:eastAsia="宋体" w:cs="Times New Roman"/>
                <w:sz w:val="24"/>
                <w:szCs w:val="24"/>
              </w:rPr>
            </w:pPr>
            <w:r>
              <w:rPr>
                <w:rFonts w:hint="eastAsia" w:ascii="Times New Roman" w:hAnsi="Times New Roman" w:eastAsia="宋体" w:cs="Times New Roman"/>
                <w:sz w:val="24"/>
                <w:szCs w:val="24"/>
                <w:u w:val="single"/>
              </w:rPr>
              <w:t>10</w:t>
            </w:r>
            <w:r>
              <w:rPr>
                <w:rFonts w:hint="eastAsia" w:ascii="Times New Roman" w:hAnsi="Times New Roman" w:eastAsia="宋体" w:cs="Times New Roman"/>
                <w:sz w:val="24"/>
                <w:szCs w:val="24"/>
              </w:rPr>
              <w:t>分钟，竞价最后</w:t>
            </w:r>
            <w:r>
              <w:rPr>
                <w:rFonts w:hint="eastAsia" w:ascii="Times New Roman" w:hAnsi="Times New Roman" w:eastAsia="宋体" w:cs="Times New Roman"/>
                <w:sz w:val="24"/>
                <w:szCs w:val="24"/>
                <w:u w:val="single"/>
              </w:rPr>
              <w:t>120秒</w:t>
            </w:r>
            <w:r>
              <w:rPr>
                <w:rFonts w:ascii="Times New Roman" w:hAnsi="Times New Roman" w:eastAsia="宋体" w:cs="Times New Roman"/>
                <w:sz w:val="24"/>
                <w:szCs w:val="24"/>
              </w:rPr>
              <w:t>内如果有竞</w:t>
            </w:r>
            <w:r>
              <w:rPr>
                <w:rFonts w:hint="eastAsia" w:ascii="Times New Roman" w:hAnsi="Times New Roman" w:eastAsia="宋体" w:cs="Times New Roman"/>
                <w:sz w:val="24"/>
                <w:szCs w:val="24"/>
              </w:rPr>
              <w:t>买</w:t>
            </w:r>
            <w:r>
              <w:rPr>
                <w:rFonts w:ascii="Times New Roman" w:hAnsi="Times New Roman" w:eastAsia="宋体" w:cs="Times New Roman"/>
                <w:sz w:val="24"/>
                <w:szCs w:val="24"/>
              </w:rPr>
              <w:t>人进行竞价，系统会把倒计时重新设为</w:t>
            </w:r>
            <w:r>
              <w:rPr>
                <w:rFonts w:hint="eastAsia" w:ascii="Times New Roman" w:hAnsi="Times New Roman" w:eastAsia="宋体" w:cs="Times New Roman"/>
                <w:sz w:val="24"/>
                <w:szCs w:val="24"/>
                <w:u w:val="single"/>
              </w:rPr>
              <w:t>120秒</w:t>
            </w:r>
            <w:r>
              <w:rPr>
                <w:rFonts w:ascii="Times New Roman" w:hAnsi="Times New Roman" w:eastAsia="宋体" w:cs="Times New Roman"/>
                <w:sz w:val="24"/>
                <w:szCs w:val="24"/>
              </w:rPr>
              <w:t>，直到最后</w:t>
            </w:r>
            <w:r>
              <w:rPr>
                <w:rFonts w:hint="eastAsia" w:ascii="Times New Roman" w:hAnsi="Times New Roman" w:eastAsia="宋体" w:cs="Times New Roman"/>
                <w:sz w:val="24"/>
                <w:szCs w:val="24"/>
                <w:u w:val="single"/>
              </w:rPr>
              <w:t>120秒</w:t>
            </w:r>
            <w:r>
              <w:rPr>
                <w:rFonts w:ascii="Times New Roman" w:hAnsi="Times New Roman" w:eastAsia="宋体" w:cs="Times New Roman"/>
                <w:sz w:val="24"/>
                <w:szCs w:val="24"/>
              </w:rPr>
              <w:t>无人再竞价，则成交</w:t>
            </w:r>
            <w:r>
              <w:rPr>
                <w:rFonts w:hint="eastAsia" w:ascii="Times New Roman" w:hAnsi="Times New Roman" w:eastAsia="宋体"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8" w:type="dxa"/>
            <w:vAlign w:val="center"/>
          </w:tcPr>
          <w:p>
            <w:pPr>
              <w:spacing w:line="460" w:lineRule="exact"/>
              <w:ind w:firstLine="0" w:firstLineChars="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4</w:t>
            </w:r>
          </w:p>
        </w:tc>
        <w:tc>
          <w:tcPr>
            <w:tcW w:w="2794" w:type="dxa"/>
            <w:vAlign w:val="center"/>
          </w:tcPr>
          <w:p>
            <w:pPr>
              <w:spacing w:line="460" w:lineRule="exact"/>
              <w:ind w:firstLine="0" w:firstLineChars="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成交公示</w:t>
            </w:r>
          </w:p>
        </w:tc>
        <w:tc>
          <w:tcPr>
            <w:tcW w:w="5284" w:type="dxa"/>
            <w:vAlign w:val="center"/>
          </w:tcPr>
          <w:p>
            <w:pPr>
              <w:spacing w:line="460" w:lineRule="exact"/>
              <w:ind w:firstLine="0"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公示成交结果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8" w:type="dxa"/>
            <w:vAlign w:val="center"/>
          </w:tcPr>
          <w:p>
            <w:pPr>
              <w:spacing w:line="460" w:lineRule="exact"/>
              <w:ind w:firstLine="0" w:firstLineChars="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15</w:t>
            </w:r>
          </w:p>
        </w:tc>
        <w:tc>
          <w:tcPr>
            <w:tcW w:w="2794" w:type="dxa"/>
            <w:vAlign w:val="center"/>
          </w:tcPr>
          <w:p>
            <w:pPr>
              <w:spacing w:line="460" w:lineRule="exact"/>
              <w:ind w:firstLine="0" w:firstLineChars="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成交佣金</w:t>
            </w:r>
          </w:p>
        </w:tc>
        <w:tc>
          <w:tcPr>
            <w:tcW w:w="5284" w:type="dxa"/>
            <w:vAlign w:val="center"/>
          </w:tcPr>
          <w:p>
            <w:pPr>
              <w:spacing w:line="460" w:lineRule="exact"/>
              <w:ind w:left="1440" w:hanging="1440" w:hangingChars="600"/>
              <w:rPr>
                <w:rFonts w:ascii="Times New Roman" w:hAnsi="Times New Roman" w:eastAsia="宋体" w:cs="Times New Roman"/>
                <w:sz w:val="24"/>
                <w:szCs w:val="24"/>
              </w:rPr>
            </w:pPr>
            <w:r>
              <w:rPr>
                <w:rFonts w:hint="eastAsia" w:ascii="Times New Roman" w:hAnsi="Times New Roman" w:eastAsia="宋体" w:cs="Times New Roman"/>
                <w:sz w:val="24"/>
                <w:szCs w:val="24"/>
              </w:rPr>
              <w:t>按照成交额的</w:t>
            </w:r>
            <w:r>
              <w:rPr>
                <w:rFonts w:hint="eastAsia" w:ascii="Times New Roman" w:hAnsi="Times New Roman" w:eastAsia="宋体" w:cs="Times New Roman"/>
                <w:sz w:val="24"/>
                <w:szCs w:val="24"/>
                <w:u w:val="single"/>
              </w:rPr>
              <w:t>2</w:t>
            </w:r>
            <w:r>
              <w:rPr>
                <w:rFonts w:ascii="Times New Roman" w:hAnsi="Times New Roman" w:eastAsia="宋体" w:cs="Times New Roman"/>
                <w:sz w:val="24"/>
                <w:szCs w:val="24"/>
                <w:u w:val="single"/>
              </w:rPr>
              <w:t>%</w:t>
            </w:r>
            <w:r>
              <w:rPr>
                <w:rFonts w:hint="eastAsia" w:ascii="Times New Roman" w:hAnsi="Times New Roman" w:eastAsia="宋体" w:cs="Times New Roman"/>
                <w:sz w:val="24"/>
                <w:szCs w:val="24"/>
              </w:rPr>
              <w:t>向买受人收取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8" w:type="dxa"/>
            <w:vAlign w:val="center"/>
          </w:tcPr>
          <w:p>
            <w:pPr>
              <w:spacing w:line="460" w:lineRule="exact"/>
              <w:ind w:firstLine="0" w:firstLineChars="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16</w:t>
            </w:r>
          </w:p>
        </w:tc>
        <w:tc>
          <w:tcPr>
            <w:tcW w:w="2794" w:type="dxa"/>
            <w:vAlign w:val="center"/>
          </w:tcPr>
          <w:p>
            <w:pPr>
              <w:spacing w:line="460" w:lineRule="exact"/>
              <w:ind w:firstLine="0" w:firstLineChars="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成交确认书</w:t>
            </w:r>
          </w:p>
        </w:tc>
        <w:tc>
          <w:tcPr>
            <w:tcW w:w="5284" w:type="dxa"/>
            <w:vAlign w:val="center"/>
          </w:tcPr>
          <w:p>
            <w:pPr>
              <w:spacing w:line="460" w:lineRule="exact"/>
              <w:ind w:firstLine="0"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买受人与代理机构（拍卖公司）签订《成交确认书》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8" w:type="dxa"/>
            <w:vAlign w:val="center"/>
          </w:tcPr>
          <w:p>
            <w:pPr>
              <w:spacing w:line="460" w:lineRule="exact"/>
              <w:ind w:firstLine="0" w:firstLineChars="0"/>
              <w:jc w:val="center"/>
              <w:rPr>
                <w:rFonts w:ascii="宋体" w:hAnsi="宋体" w:eastAsia="宋体"/>
                <w:sz w:val="24"/>
                <w:szCs w:val="24"/>
              </w:rPr>
            </w:pPr>
            <w:r>
              <w:rPr>
                <w:rFonts w:hint="eastAsia" w:ascii="宋体" w:hAnsi="宋体" w:eastAsia="宋体"/>
                <w:sz w:val="24"/>
                <w:szCs w:val="24"/>
              </w:rPr>
              <w:t>17</w:t>
            </w:r>
          </w:p>
        </w:tc>
        <w:tc>
          <w:tcPr>
            <w:tcW w:w="2794" w:type="dxa"/>
            <w:vAlign w:val="center"/>
          </w:tcPr>
          <w:p>
            <w:pPr>
              <w:spacing w:line="460" w:lineRule="exact"/>
              <w:ind w:firstLine="0" w:firstLineChars="0"/>
              <w:jc w:val="left"/>
              <w:rPr>
                <w:rFonts w:ascii="宋体" w:hAnsi="宋体" w:eastAsia="宋体"/>
                <w:sz w:val="24"/>
                <w:szCs w:val="24"/>
              </w:rPr>
            </w:pPr>
            <w:r>
              <w:rPr>
                <w:rFonts w:hint="eastAsia" w:ascii="宋体" w:hAnsi="宋体" w:eastAsia="宋体"/>
                <w:sz w:val="24"/>
                <w:szCs w:val="24"/>
              </w:rPr>
              <w:t>成交通知书</w:t>
            </w:r>
          </w:p>
        </w:tc>
        <w:tc>
          <w:tcPr>
            <w:tcW w:w="5284" w:type="dxa"/>
            <w:vAlign w:val="center"/>
          </w:tcPr>
          <w:p>
            <w:pPr>
              <w:spacing w:line="460" w:lineRule="exact"/>
              <w:ind w:firstLine="0" w:firstLineChars="0"/>
              <w:rPr>
                <w:rFonts w:ascii="宋体" w:hAnsi="宋体" w:eastAsia="宋体"/>
                <w:sz w:val="24"/>
                <w:szCs w:val="24"/>
              </w:rPr>
            </w:pPr>
            <w:r>
              <w:rPr>
                <w:rFonts w:hint="eastAsia" w:ascii="宋体" w:hAnsi="宋体" w:eastAsia="宋体"/>
                <w:sz w:val="24"/>
                <w:szCs w:val="24"/>
              </w:rPr>
              <w:t>签订《成交确认书》后，买受人自行下载《成交通知书》。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8" w:type="dxa"/>
            <w:vAlign w:val="center"/>
          </w:tcPr>
          <w:p>
            <w:pPr>
              <w:spacing w:line="460" w:lineRule="exact"/>
              <w:ind w:firstLine="0" w:firstLineChars="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18</w:t>
            </w:r>
          </w:p>
        </w:tc>
        <w:tc>
          <w:tcPr>
            <w:tcW w:w="2794" w:type="dxa"/>
            <w:vAlign w:val="center"/>
          </w:tcPr>
          <w:p>
            <w:pPr>
              <w:spacing w:line="460" w:lineRule="exact"/>
              <w:ind w:firstLine="0" w:firstLineChars="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询问和质疑</w:t>
            </w:r>
          </w:p>
        </w:tc>
        <w:tc>
          <w:tcPr>
            <w:tcW w:w="5284" w:type="dxa"/>
            <w:vAlign w:val="center"/>
          </w:tcPr>
          <w:p>
            <w:pPr>
              <w:spacing w:line="460" w:lineRule="exact"/>
              <w:ind w:firstLine="0"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竞买人就本项目有疑问的可以向代理机构提出询问；竞买人</w:t>
            </w:r>
            <w:r>
              <w:rPr>
                <w:rFonts w:ascii="Times New Roman" w:hAnsi="Times New Roman" w:eastAsia="宋体" w:cs="Times New Roman"/>
                <w:sz w:val="24"/>
                <w:szCs w:val="24"/>
              </w:rPr>
              <w:t>有权就</w:t>
            </w:r>
            <w:r>
              <w:rPr>
                <w:rFonts w:hint="eastAsia" w:ascii="Times New Roman" w:hAnsi="Times New Roman" w:eastAsia="宋体" w:cs="Times New Roman"/>
                <w:sz w:val="24"/>
                <w:szCs w:val="24"/>
              </w:rPr>
              <w:t>拍卖</w:t>
            </w:r>
            <w:r>
              <w:rPr>
                <w:rFonts w:ascii="Times New Roman" w:hAnsi="Times New Roman" w:eastAsia="宋体" w:cs="Times New Roman"/>
                <w:sz w:val="24"/>
                <w:szCs w:val="24"/>
              </w:rPr>
              <w:t>事宜提出质疑</w:t>
            </w:r>
            <w:r>
              <w:rPr>
                <w:rFonts w:hint="eastAsia" w:ascii="Times New Roman" w:hAnsi="Times New Roman" w:eastAsia="宋体" w:cs="Times New Roman"/>
                <w:sz w:val="24"/>
                <w:szCs w:val="24"/>
              </w:rPr>
              <w:t>，质疑函请寄送并电话通知代理机构，地址、联系电话详见《拍卖邀请书》。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8" w:type="dxa"/>
            <w:vAlign w:val="center"/>
          </w:tcPr>
          <w:p>
            <w:pPr>
              <w:spacing w:line="460" w:lineRule="exact"/>
              <w:ind w:firstLine="0" w:firstLineChars="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19</w:t>
            </w:r>
          </w:p>
        </w:tc>
        <w:tc>
          <w:tcPr>
            <w:tcW w:w="2794" w:type="dxa"/>
            <w:vAlign w:val="center"/>
          </w:tcPr>
          <w:p>
            <w:pPr>
              <w:spacing w:line="460" w:lineRule="exact"/>
              <w:ind w:firstLine="0" w:firstLineChars="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特别提示</w:t>
            </w:r>
          </w:p>
        </w:tc>
        <w:tc>
          <w:tcPr>
            <w:tcW w:w="5284" w:type="dxa"/>
            <w:vAlign w:val="center"/>
          </w:tcPr>
          <w:p>
            <w:pPr>
              <w:spacing w:line="460" w:lineRule="exact"/>
              <w:ind w:firstLine="0" w:firstLineChars="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网络竞价操作手册请登录山东省公共资源交易资产及权益公开处置系统自行下载，网址http://ggzyjyzx.shandong.gov.cn，下载方式：网站首页-平台入口-权益类–资产处置-下载中心。</w:t>
            </w:r>
          </w:p>
        </w:tc>
      </w:tr>
    </w:tbl>
    <w:p>
      <w:pPr>
        <w:widowControl/>
        <w:spacing w:line="240" w:lineRule="auto"/>
        <w:ind w:firstLine="0" w:firstLineChars="0"/>
        <w:jc w:val="center"/>
        <w:rPr>
          <w:rFonts w:ascii="Times New Roman" w:hAnsi="Times New Roman" w:eastAsia="宋体" w:cs="Times New Roman"/>
          <w:sz w:val="24"/>
          <w:szCs w:val="24"/>
        </w:rPr>
        <w:sectPr>
          <w:headerReference r:id="rId12" w:type="default"/>
          <w:pgSz w:w="11906" w:h="16838"/>
          <w:pgMar w:top="1440" w:right="1800" w:bottom="1440" w:left="1800" w:header="851" w:footer="1" w:gutter="0"/>
          <w:cols w:space="425" w:num="1"/>
          <w:docGrid w:type="lines" w:linePitch="312" w:charSpace="0"/>
        </w:sectPr>
      </w:pPr>
      <w:r>
        <w:rPr>
          <w:rFonts w:ascii="Times New Roman" w:hAnsi="Times New Roman" w:eastAsia="宋体" w:cs="Times New Roman"/>
          <w:sz w:val="24"/>
          <w:szCs w:val="24"/>
        </w:rPr>
        <w:br w:type="page"/>
      </w:r>
    </w:p>
    <w:p>
      <w:pPr>
        <w:keepNext/>
        <w:keepLines/>
        <w:spacing w:before="340" w:after="330" w:line="576" w:lineRule="auto"/>
        <w:ind w:firstLine="0" w:firstLineChars="0"/>
        <w:jc w:val="center"/>
        <w:outlineLvl w:val="0"/>
        <w:rPr>
          <w:rFonts w:ascii="Times New Roman" w:hAnsi="Times New Roman" w:eastAsia="宋体" w:cs="Times New Roman"/>
          <w:b/>
          <w:kern w:val="44"/>
          <w:szCs w:val="24"/>
        </w:rPr>
      </w:pPr>
      <w:bookmarkStart w:id="6" w:name="_Toc167291577"/>
      <w:r>
        <w:rPr>
          <w:rFonts w:hint="eastAsia" w:ascii="Times New Roman" w:hAnsi="Times New Roman" w:eastAsia="宋体" w:cs="Times New Roman"/>
          <w:b/>
          <w:kern w:val="44"/>
          <w:szCs w:val="24"/>
        </w:rPr>
        <w:t>第四部分  项目基本情况</w:t>
      </w:r>
      <w:bookmarkEnd w:id="6"/>
    </w:p>
    <w:tbl>
      <w:tblPr>
        <w:tblStyle w:val="19"/>
        <w:tblW w:w="103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1875"/>
        <w:gridCol w:w="818"/>
        <w:gridCol w:w="2693"/>
        <w:gridCol w:w="2410"/>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1" w:type="dxa"/>
            <w:vAlign w:val="center"/>
          </w:tcPr>
          <w:p>
            <w:pPr>
              <w:ind w:firstLine="0" w:firstLineChars="0"/>
              <w:jc w:val="center"/>
              <w:rPr>
                <w:rFonts w:ascii="宋体" w:hAnsi="宋体" w:eastAsia="宋体"/>
                <w:b/>
                <w:sz w:val="24"/>
                <w:szCs w:val="24"/>
              </w:rPr>
            </w:pPr>
            <w:r>
              <w:rPr>
                <w:rFonts w:hint="eastAsia" w:ascii="宋体" w:hAnsi="宋体" w:eastAsia="宋体"/>
                <w:b/>
                <w:sz w:val="24"/>
                <w:szCs w:val="24"/>
              </w:rPr>
              <w:t>序号</w:t>
            </w:r>
          </w:p>
        </w:tc>
        <w:tc>
          <w:tcPr>
            <w:tcW w:w="1875" w:type="dxa"/>
            <w:vAlign w:val="center"/>
          </w:tcPr>
          <w:p>
            <w:pPr>
              <w:ind w:firstLine="0" w:firstLineChars="0"/>
              <w:jc w:val="center"/>
              <w:rPr>
                <w:rFonts w:ascii="宋体" w:hAnsi="宋体" w:eastAsia="宋体"/>
                <w:b/>
                <w:sz w:val="24"/>
                <w:szCs w:val="24"/>
              </w:rPr>
            </w:pPr>
            <w:r>
              <w:rPr>
                <w:rFonts w:hint="eastAsia" w:ascii="宋体" w:hAnsi="宋体" w:eastAsia="宋体"/>
                <w:b/>
                <w:sz w:val="24"/>
                <w:szCs w:val="24"/>
              </w:rPr>
              <w:t>拍卖标的名称</w:t>
            </w:r>
          </w:p>
        </w:tc>
        <w:tc>
          <w:tcPr>
            <w:tcW w:w="818" w:type="dxa"/>
            <w:vAlign w:val="center"/>
          </w:tcPr>
          <w:p>
            <w:pPr>
              <w:ind w:firstLine="0" w:firstLineChars="0"/>
              <w:jc w:val="center"/>
              <w:rPr>
                <w:rFonts w:ascii="宋体" w:hAnsi="宋体" w:eastAsia="宋体"/>
                <w:b/>
                <w:sz w:val="24"/>
                <w:szCs w:val="24"/>
              </w:rPr>
            </w:pPr>
            <w:r>
              <w:rPr>
                <w:rFonts w:hint="eastAsia" w:ascii="宋体" w:hAnsi="宋体" w:eastAsia="宋体"/>
                <w:b/>
                <w:sz w:val="24"/>
                <w:szCs w:val="24"/>
              </w:rPr>
              <w:t>单位</w:t>
            </w:r>
          </w:p>
        </w:tc>
        <w:tc>
          <w:tcPr>
            <w:tcW w:w="2693" w:type="dxa"/>
            <w:vAlign w:val="center"/>
          </w:tcPr>
          <w:p>
            <w:pPr>
              <w:ind w:firstLine="0" w:firstLineChars="0"/>
              <w:jc w:val="center"/>
              <w:rPr>
                <w:rFonts w:ascii="宋体" w:hAnsi="宋体" w:eastAsia="宋体"/>
                <w:b/>
                <w:sz w:val="24"/>
                <w:szCs w:val="24"/>
              </w:rPr>
            </w:pPr>
            <w:r>
              <w:rPr>
                <w:rFonts w:hint="eastAsia" w:ascii="宋体" w:hAnsi="宋体" w:eastAsia="宋体"/>
                <w:b/>
                <w:sz w:val="24"/>
                <w:szCs w:val="24"/>
              </w:rPr>
              <w:t>数量</w:t>
            </w:r>
          </w:p>
        </w:tc>
        <w:tc>
          <w:tcPr>
            <w:tcW w:w="2410" w:type="dxa"/>
            <w:vAlign w:val="center"/>
          </w:tcPr>
          <w:p>
            <w:pPr>
              <w:ind w:firstLine="0" w:firstLineChars="0"/>
              <w:jc w:val="center"/>
              <w:rPr>
                <w:rFonts w:ascii="宋体" w:hAnsi="宋体" w:eastAsia="宋体"/>
                <w:b/>
                <w:sz w:val="24"/>
                <w:szCs w:val="24"/>
              </w:rPr>
            </w:pPr>
            <w:r>
              <w:rPr>
                <w:rFonts w:hint="eastAsia" w:ascii="宋体" w:hAnsi="宋体" w:eastAsia="宋体"/>
                <w:b/>
                <w:sz w:val="24"/>
                <w:szCs w:val="24"/>
              </w:rPr>
              <w:t>质量状况</w:t>
            </w:r>
          </w:p>
          <w:p>
            <w:pPr>
              <w:ind w:firstLine="0" w:firstLineChars="0"/>
              <w:jc w:val="center"/>
              <w:rPr>
                <w:rFonts w:ascii="宋体" w:hAnsi="宋体" w:eastAsia="宋体"/>
                <w:b/>
                <w:sz w:val="24"/>
                <w:szCs w:val="24"/>
              </w:rPr>
            </w:pPr>
            <w:r>
              <w:rPr>
                <w:rFonts w:hint="eastAsia" w:ascii="宋体" w:hAnsi="宋体" w:eastAsia="宋体"/>
                <w:b/>
                <w:sz w:val="24"/>
                <w:szCs w:val="24"/>
              </w:rPr>
              <w:t>（瑕疵情况）</w:t>
            </w:r>
          </w:p>
        </w:tc>
        <w:tc>
          <w:tcPr>
            <w:tcW w:w="1843" w:type="dxa"/>
            <w:vAlign w:val="center"/>
          </w:tcPr>
          <w:p>
            <w:pPr>
              <w:ind w:firstLine="0" w:firstLineChars="0"/>
              <w:jc w:val="center"/>
              <w:rPr>
                <w:rFonts w:ascii="宋体" w:hAnsi="宋体" w:eastAsia="宋体"/>
                <w:b/>
                <w:sz w:val="24"/>
                <w:szCs w:val="24"/>
              </w:rPr>
            </w:pPr>
            <w:r>
              <w:rPr>
                <w:rFonts w:hint="eastAsia" w:ascii="宋体" w:hAnsi="宋体" w:eastAsia="宋体"/>
                <w:b/>
                <w:sz w:val="24"/>
                <w:szCs w:val="24"/>
              </w:rPr>
              <w:t>起拍价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711" w:type="dxa"/>
            <w:vAlign w:val="center"/>
          </w:tcPr>
          <w:p>
            <w:pPr>
              <w:spacing w:line="500" w:lineRule="exact"/>
              <w:ind w:firstLine="0" w:firstLineChars="0"/>
              <w:jc w:val="center"/>
              <w:rPr>
                <w:rFonts w:ascii="宋体" w:hAnsi="宋体" w:eastAsia="宋体"/>
                <w:bCs/>
                <w:sz w:val="24"/>
                <w:szCs w:val="24"/>
              </w:rPr>
            </w:pPr>
            <w:r>
              <w:rPr>
                <w:rFonts w:hint="eastAsia" w:ascii="宋体" w:hAnsi="宋体" w:eastAsia="宋体"/>
                <w:bCs/>
                <w:sz w:val="24"/>
                <w:szCs w:val="24"/>
              </w:rPr>
              <w:t>1</w:t>
            </w:r>
          </w:p>
        </w:tc>
        <w:tc>
          <w:tcPr>
            <w:tcW w:w="1875" w:type="dxa"/>
            <w:vAlign w:val="center"/>
          </w:tcPr>
          <w:p>
            <w:pPr>
              <w:spacing w:line="500" w:lineRule="exact"/>
              <w:ind w:firstLine="0" w:firstLineChars="0"/>
              <w:jc w:val="center"/>
              <w:rPr>
                <w:rFonts w:ascii="宋体" w:hAnsi="宋体" w:eastAsia="宋体"/>
                <w:bCs/>
                <w:sz w:val="24"/>
                <w:szCs w:val="24"/>
              </w:rPr>
            </w:pPr>
            <w:r>
              <w:rPr>
                <w:rFonts w:hint="eastAsia" w:ascii="宋体" w:hAnsi="宋体"/>
                <w:sz w:val="24"/>
                <w:szCs w:val="24"/>
              </w:rPr>
              <w:t>锌锭</w:t>
            </w:r>
          </w:p>
        </w:tc>
        <w:tc>
          <w:tcPr>
            <w:tcW w:w="818" w:type="dxa"/>
            <w:vAlign w:val="center"/>
          </w:tcPr>
          <w:p>
            <w:pPr>
              <w:spacing w:line="500" w:lineRule="exact"/>
              <w:ind w:firstLine="0" w:firstLineChars="0"/>
              <w:jc w:val="center"/>
              <w:rPr>
                <w:rFonts w:ascii="宋体" w:hAnsi="宋体" w:eastAsia="宋体"/>
                <w:bCs/>
                <w:sz w:val="24"/>
                <w:szCs w:val="24"/>
              </w:rPr>
            </w:pPr>
            <w:r>
              <w:rPr>
                <w:rFonts w:hint="eastAsia" w:ascii="宋体" w:hAnsi="宋体"/>
                <w:bCs/>
                <w:sz w:val="24"/>
                <w:szCs w:val="24"/>
              </w:rPr>
              <w:t>吨</w:t>
            </w:r>
          </w:p>
        </w:tc>
        <w:tc>
          <w:tcPr>
            <w:tcW w:w="2693" w:type="dxa"/>
            <w:vAlign w:val="center"/>
          </w:tcPr>
          <w:p>
            <w:pPr>
              <w:spacing w:line="500" w:lineRule="exact"/>
              <w:ind w:firstLine="0" w:firstLineChars="0"/>
              <w:jc w:val="center"/>
              <w:rPr>
                <w:rFonts w:ascii="宋体" w:hAnsi="宋体" w:eastAsia="宋体"/>
                <w:bCs/>
                <w:sz w:val="24"/>
                <w:szCs w:val="24"/>
              </w:rPr>
            </w:pPr>
            <w:r>
              <w:rPr>
                <w:rFonts w:hint="eastAsia" w:ascii="宋体" w:hAnsi="宋体" w:eastAsia="宋体"/>
                <w:bCs/>
                <w:sz w:val="24"/>
                <w:szCs w:val="24"/>
              </w:rPr>
              <w:t>约</w:t>
            </w:r>
            <w:r>
              <w:rPr>
                <w:rFonts w:hint="eastAsia" w:ascii="宋体" w:hAnsi="宋体"/>
                <w:bCs/>
                <w:sz w:val="24"/>
                <w:szCs w:val="24"/>
              </w:rPr>
              <w:t>13.08</w:t>
            </w:r>
            <w:r>
              <w:rPr>
                <w:rFonts w:hint="eastAsia" w:ascii="宋体" w:hAnsi="宋体" w:eastAsia="宋体"/>
                <w:bCs/>
                <w:sz w:val="24"/>
                <w:szCs w:val="24"/>
              </w:rPr>
              <w:t>（含墩包袋）</w:t>
            </w:r>
          </w:p>
        </w:tc>
        <w:tc>
          <w:tcPr>
            <w:tcW w:w="2410" w:type="dxa"/>
            <w:vMerge w:val="restart"/>
            <w:vAlign w:val="center"/>
          </w:tcPr>
          <w:p>
            <w:pPr>
              <w:spacing w:line="500" w:lineRule="exact"/>
              <w:ind w:firstLine="0" w:firstLineChars="0"/>
              <w:jc w:val="center"/>
              <w:rPr>
                <w:rFonts w:ascii="宋体" w:hAnsi="宋体" w:eastAsia="宋体"/>
                <w:bCs/>
                <w:sz w:val="24"/>
                <w:szCs w:val="24"/>
              </w:rPr>
            </w:pPr>
            <w:r>
              <w:rPr>
                <w:rFonts w:hint="eastAsia" w:ascii="宋体" w:hAnsi="宋体" w:eastAsia="宋体"/>
                <w:bCs/>
                <w:sz w:val="24"/>
                <w:szCs w:val="24"/>
              </w:rPr>
              <w:t>标的的数量、质量标的展示为准，数量仅供参考，不作为对竞买人的承诺，按宗拍卖。</w:t>
            </w:r>
          </w:p>
        </w:tc>
        <w:tc>
          <w:tcPr>
            <w:tcW w:w="1843" w:type="dxa"/>
            <w:vAlign w:val="center"/>
          </w:tcPr>
          <w:p>
            <w:pPr>
              <w:spacing w:line="500" w:lineRule="exact"/>
              <w:ind w:left="-96" w:leftChars="-30" w:right="-106" w:rightChars="-33" w:firstLine="0" w:firstLineChars="0"/>
              <w:jc w:val="center"/>
              <w:rPr>
                <w:rFonts w:ascii="宋体" w:hAnsi="宋体" w:eastAsia="宋体"/>
                <w:bCs/>
                <w:sz w:val="24"/>
                <w:szCs w:val="24"/>
              </w:rPr>
            </w:pPr>
            <w:r>
              <w:rPr>
                <w:rFonts w:hint="eastAsia" w:ascii="宋体" w:hAnsi="宋体"/>
                <w:color w:val="000000"/>
                <w:kern w:val="0"/>
                <w:sz w:val="24"/>
                <w:szCs w:val="24"/>
              </w:rPr>
              <w:t>247999.15元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711" w:type="dxa"/>
            <w:vAlign w:val="center"/>
          </w:tcPr>
          <w:p>
            <w:pPr>
              <w:spacing w:line="500" w:lineRule="exact"/>
              <w:ind w:firstLine="0" w:firstLineChars="0"/>
              <w:jc w:val="center"/>
              <w:rPr>
                <w:rFonts w:ascii="宋体" w:hAnsi="宋体" w:eastAsia="宋体"/>
                <w:bCs/>
                <w:sz w:val="24"/>
                <w:szCs w:val="24"/>
              </w:rPr>
            </w:pPr>
            <w:r>
              <w:rPr>
                <w:rFonts w:hint="eastAsia" w:ascii="宋体" w:hAnsi="宋体" w:eastAsia="宋体"/>
                <w:bCs/>
                <w:sz w:val="24"/>
                <w:szCs w:val="24"/>
              </w:rPr>
              <w:t>2</w:t>
            </w:r>
          </w:p>
        </w:tc>
        <w:tc>
          <w:tcPr>
            <w:tcW w:w="1875" w:type="dxa"/>
            <w:vAlign w:val="center"/>
          </w:tcPr>
          <w:p>
            <w:pPr>
              <w:spacing w:line="500" w:lineRule="exact"/>
              <w:ind w:firstLine="0" w:firstLineChars="0"/>
              <w:jc w:val="center"/>
              <w:rPr>
                <w:rFonts w:ascii="宋体" w:hAnsi="宋体" w:eastAsia="宋体"/>
                <w:bCs/>
                <w:sz w:val="24"/>
                <w:szCs w:val="24"/>
              </w:rPr>
            </w:pPr>
            <w:r>
              <w:rPr>
                <w:rFonts w:hint="eastAsia"/>
                <w:bCs/>
                <w:sz w:val="24"/>
              </w:rPr>
              <w:t>再生铅锑合金（铅制品）</w:t>
            </w:r>
          </w:p>
        </w:tc>
        <w:tc>
          <w:tcPr>
            <w:tcW w:w="818" w:type="dxa"/>
            <w:vAlign w:val="center"/>
          </w:tcPr>
          <w:p>
            <w:pPr>
              <w:spacing w:line="500" w:lineRule="exact"/>
              <w:ind w:firstLine="0" w:firstLineChars="0"/>
              <w:jc w:val="center"/>
              <w:rPr>
                <w:rFonts w:ascii="宋体" w:hAnsi="宋体" w:eastAsia="宋体"/>
                <w:bCs/>
                <w:sz w:val="24"/>
                <w:szCs w:val="24"/>
              </w:rPr>
            </w:pPr>
            <w:r>
              <w:rPr>
                <w:rFonts w:hint="eastAsia" w:ascii="宋体" w:hAnsi="宋体"/>
                <w:bCs/>
                <w:sz w:val="24"/>
                <w:szCs w:val="24"/>
              </w:rPr>
              <w:t>吨</w:t>
            </w:r>
          </w:p>
        </w:tc>
        <w:tc>
          <w:tcPr>
            <w:tcW w:w="2693" w:type="dxa"/>
            <w:vAlign w:val="center"/>
          </w:tcPr>
          <w:p>
            <w:pPr>
              <w:spacing w:line="500" w:lineRule="exact"/>
              <w:ind w:firstLine="0" w:firstLineChars="0"/>
              <w:jc w:val="center"/>
              <w:rPr>
                <w:rFonts w:ascii="宋体" w:hAnsi="宋体" w:eastAsia="宋体"/>
                <w:bCs/>
                <w:sz w:val="24"/>
                <w:szCs w:val="24"/>
              </w:rPr>
            </w:pPr>
            <w:r>
              <w:rPr>
                <w:rFonts w:hint="eastAsia" w:ascii="宋体" w:hAnsi="宋体" w:eastAsia="宋体"/>
                <w:bCs/>
                <w:sz w:val="24"/>
                <w:szCs w:val="24"/>
              </w:rPr>
              <w:t>约</w:t>
            </w:r>
            <w:r>
              <w:rPr>
                <w:rFonts w:hint="eastAsia" w:ascii="宋体" w:hAnsi="宋体"/>
                <w:bCs/>
                <w:sz w:val="24"/>
                <w:szCs w:val="24"/>
              </w:rPr>
              <w:t>547.04</w:t>
            </w:r>
            <w:r>
              <w:rPr>
                <w:rFonts w:hint="eastAsia" w:ascii="宋体" w:hAnsi="宋体" w:eastAsia="宋体"/>
                <w:bCs/>
                <w:sz w:val="24"/>
                <w:szCs w:val="24"/>
              </w:rPr>
              <w:t>（含墩包袋）</w:t>
            </w:r>
          </w:p>
        </w:tc>
        <w:tc>
          <w:tcPr>
            <w:tcW w:w="2410" w:type="dxa"/>
            <w:vMerge w:val="continue"/>
            <w:vAlign w:val="center"/>
          </w:tcPr>
          <w:p>
            <w:pPr>
              <w:spacing w:line="500" w:lineRule="exact"/>
              <w:ind w:firstLine="0" w:firstLineChars="0"/>
              <w:jc w:val="center"/>
              <w:rPr>
                <w:rFonts w:ascii="宋体" w:hAnsi="宋体" w:eastAsia="宋体"/>
                <w:bCs/>
                <w:sz w:val="24"/>
                <w:szCs w:val="24"/>
              </w:rPr>
            </w:pPr>
          </w:p>
        </w:tc>
        <w:tc>
          <w:tcPr>
            <w:tcW w:w="1843" w:type="dxa"/>
            <w:vAlign w:val="center"/>
          </w:tcPr>
          <w:p>
            <w:pPr>
              <w:spacing w:line="500" w:lineRule="exact"/>
              <w:ind w:left="-96" w:leftChars="-30" w:right="-106" w:rightChars="-33" w:firstLine="0" w:firstLineChars="0"/>
              <w:jc w:val="center"/>
              <w:rPr>
                <w:rFonts w:ascii="宋体" w:hAnsi="宋体" w:eastAsia="宋体"/>
                <w:bCs/>
                <w:sz w:val="24"/>
                <w:szCs w:val="24"/>
              </w:rPr>
            </w:pPr>
            <w:r>
              <w:rPr>
                <w:rFonts w:hint="eastAsia" w:ascii="宋体" w:hAnsi="宋体"/>
                <w:bCs/>
                <w:sz w:val="24"/>
                <w:szCs w:val="24"/>
              </w:rPr>
              <w:t>8399241.22元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711" w:type="dxa"/>
            <w:vAlign w:val="center"/>
          </w:tcPr>
          <w:p>
            <w:pPr>
              <w:spacing w:line="500" w:lineRule="exact"/>
              <w:ind w:firstLine="0" w:firstLineChars="0"/>
              <w:jc w:val="center"/>
              <w:rPr>
                <w:rFonts w:ascii="宋体" w:hAnsi="宋体" w:eastAsia="宋体"/>
                <w:bCs/>
                <w:sz w:val="24"/>
                <w:szCs w:val="24"/>
              </w:rPr>
            </w:pPr>
            <w:r>
              <w:rPr>
                <w:rFonts w:hint="eastAsia" w:ascii="宋体" w:hAnsi="宋体" w:eastAsia="宋体"/>
                <w:bCs/>
                <w:sz w:val="24"/>
                <w:szCs w:val="24"/>
              </w:rPr>
              <w:t>3</w:t>
            </w:r>
          </w:p>
        </w:tc>
        <w:tc>
          <w:tcPr>
            <w:tcW w:w="1875" w:type="dxa"/>
            <w:vAlign w:val="center"/>
          </w:tcPr>
          <w:p>
            <w:pPr>
              <w:spacing w:line="500" w:lineRule="exact"/>
              <w:ind w:firstLine="0" w:firstLineChars="0"/>
              <w:jc w:val="center"/>
              <w:rPr>
                <w:rFonts w:ascii="宋体" w:hAnsi="宋体" w:eastAsia="宋体"/>
                <w:bCs/>
                <w:sz w:val="24"/>
                <w:szCs w:val="24"/>
              </w:rPr>
            </w:pPr>
            <w:r>
              <w:rPr>
                <w:rFonts w:hint="eastAsia" w:ascii="宋体" w:hAnsi="宋体"/>
                <w:bCs/>
                <w:sz w:val="24"/>
                <w:szCs w:val="24"/>
              </w:rPr>
              <w:t>铅精矿（粉）</w:t>
            </w:r>
          </w:p>
        </w:tc>
        <w:tc>
          <w:tcPr>
            <w:tcW w:w="818" w:type="dxa"/>
            <w:vAlign w:val="center"/>
          </w:tcPr>
          <w:p>
            <w:pPr>
              <w:spacing w:line="500" w:lineRule="exact"/>
              <w:ind w:firstLine="0" w:firstLineChars="0"/>
              <w:jc w:val="center"/>
              <w:rPr>
                <w:rFonts w:ascii="宋体" w:hAnsi="宋体" w:eastAsia="宋体"/>
                <w:bCs/>
                <w:sz w:val="24"/>
                <w:szCs w:val="24"/>
              </w:rPr>
            </w:pPr>
            <w:r>
              <w:rPr>
                <w:rFonts w:hint="eastAsia" w:ascii="宋体" w:hAnsi="宋体"/>
                <w:bCs/>
                <w:sz w:val="24"/>
                <w:szCs w:val="24"/>
              </w:rPr>
              <w:t>吨</w:t>
            </w:r>
          </w:p>
        </w:tc>
        <w:tc>
          <w:tcPr>
            <w:tcW w:w="2693" w:type="dxa"/>
            <w:vAlign w:val="center"/>
          </w:tcPr>
          <w:p>
            <w:pPr>
              <w:spacing w:line="500" w:lineRule="exact"/>
              <w:ind w:firstLine="0" w:firstLineChars="0"/>
              <w:jc w:val="center"/>
              <w:rPr>
                <w:rFonts w:ascii="宋体" w:hAnsi="宋体" w:eastAsia="宋体"/>
                <w:bCs/>
                <w:sz w:val="24"/>
                <w:szCs w:val="24"/>
              </w:rPr>
            </w:pPr>
            <w:r>
              <w:rPr>
                <w:rFonts w:hint="eastAsia" w:ascii="宋体" w:hAnsi="宋体" w:eastAsia="宋体"/>
                <w:bCs/>
                <w:sz w:val="24"/>
                <w:szCs w:val="24"/>
              </w:rPr>
              <w:t>约</w:t>
            </w:r>
            <w:r>
              <w:rPr>
                <w:rFonts w:hint="eastAsia" w:ascii="宋体" w:hAnsi="宋体"/>
                <w:bCs/>
                <w:sz w:val="24"/>
                <w:szCs w:val="24"/>
              </w:rPr>
              <w:t>1227.5</w:t>
            </w:r>
            <w:r>
              <w:rPr>
                <w:rFonts w:hint="eastAsia" w:ascii="宋体" w:hAnsi="宋体" w:eastAsia="宋体"/>
                <w:bCs/>
                <w:sz w:val="24"/>
                <w:szCs w:val="24"/>
              </w:rPr>
              <w:t>（含墩包袋）</w:t>
            </w:r>
          </w:p>
        </w:tc>
        <w:tc>
          <w:tcPr>
            <w:tcW w:w="2410" w:type="dxa"/>
            <w:vMerge w:val="continue"/>
            <w:vAlign w:val="center"/>
          </w:tcPr>
          <w:p>
            <w:pPr>
              <w:spacing w:line="500" w:lineRule="exact"/>
              <w:ind w:firstLine="0" w:firstLineChars="0"/>
              <w:jc w:val="center"/>
              <w:rPr>
                <w:rFonts w:ascii="宋体" w:hAnsi="宋体" w:eastAsia="宋体"/>
                <w:bCs/>
                <w:sz w:val="24"/>
                <w:szCs w:val="24"/>
              </w:rPr>
            </w:pPr>
          </w:p>
        </w:tc>
        <w:tc>
          <w:tcPr>
            <w:tcW w:w="1843" w:type="dxa"/>
            <w:vAlign w:val="center"/>
          </w:tcPr>
          <w:p>
            <w:pPr>
              <w:spacing w:line="500" w:lineRule="exact"/>
              <w:ind w:left="-96" w:leftChars="-30" w:right="-106" w:rightChars="-33" w:firstLine="0" w:firstLineChars="0"/>
              <w:jc w:val="center"/>
              <w:rPr>
                <w:rFonts w:ascii="宋体" w:hAnsi="宋体" w:eastAsia="宋体"/>
                <w:bCs/>
                <w:sz w:val="24"/>
                <w:szCs w:val="24"/>
              </w:rPr>
            </w:pPr>
            <w:r>
              <w:rPr>
                <w:rFonts w:hint="eastAsia" w:ascii="宋体" w:hAnsi="宋体"/>
                <w:bCs/>
                <w:sz w:val="24"/>
                <w:szCs w:val="24"/>
              </w:rPr>
              <w:t>13865356.26元</w:t>
            </w:r>
          </w:p>
        </w:tc>
      </w:tr>
    </w:tbl>
    <w:p>
      <w:pPr>
        <w:widowControl/>
        <w:spacing w:line="240" w:lineRule="auto"/>
        <w:ind w:firstLine="0" w:firstLineChars="0"/>
        <w:rPr>
          <w:rFonts w:ascii="Times New Roman" w:hAnsi="Times New Roman" w:eastAsia="宋体" w:cs="Times New Roman"/>
          <w:b/>
          <w:kern w:val="44"/>
          <w:szCs w:val="24"/>
        </w:rPr>
      </w:pPr>
    </w:p>
    <w:p>
      <w:pPr>
        <w:widowControl/>
        <w:spacing w:line="240" w:lineRule="auto"/>
        <w:ind w:left="-3" w:leftChars="-1" w:firstLine="0" w:firstLineChars="0"/>
        <w:jc w:val="left"/>
        <w:rPr>
          <w:rFonts w:ascii="Times New Roman" w:hAnsi="Times New Roman" w:eastAsia="宋体" w:cs="Times New Roman"/>
          <w:bCs/>
          <w:kern w:val="44"/>
          <w:szCs w:val="24"/>
        </w:rPr>
      </w:pPr>
      <w:r>
        <w:rPr>
          <w:rFonts w:hint="eastAsia" w:ascii="Times New Roman" w:hAnsi="Times New Roman" w:eastAsia="宋体" w:cs="Times New Roman"/>
          <w:bCs/>
          <w:kern w:val="44"/>
          <w:szCs w:val="24"/>
        </w:rPr>
        <w:t>数量来源于第三方重量鉴定报告，以上价格不含税，委托方不开具发票。</w:t>
      </w:r>
    </w:p>
    <w:p>
      <w:pPr>
        <w:widowControl/>
        <w:spacing w:line="240" w:lineRule="auto"/>
        <w:ind w:left="-3" w:leftChars="-1" w:firstLine="0" w:firstLineChars="0"/>
        <w:jc w:val="left"/>
        <w:rPr>
          <w:rFonts w:ascii="Times New Roman" w:hAnsi="Times New Roman" w:eastAsia="宋体" w:cs="Times New Roman"/>
          <w:b/>
          <w:kern w:val="44"/>
          <w:szCs w:val="24"/>
        </w:rPr>
        <w:sectPr>
          <w:pgSz w:w="11906" w:h="16838"/>
          <w:pgMar w:top="1440" w:right="1800" w:bottom="1440" w:left="1800" w:header="851" w:footer="151" w:gutter="0"/>
          <w:cols w:space="425" w:num="1"/>
          <w:docGrid w:type="lines" w:linePitch="312" w:charSpace="0"/>
        </w:sectPr>
      </w:pPr>
      <w:r>
        <w:rPr>
          <w:rFonts w:ascii="Times New Roman" w:hAnsi="Times New Roman" w:eastAsia="宋体" w:cs="Times New Roman"/>
          <w:b/>
          <w:kern w:val="44"/>
          <w:szCs w:val="24"/>
        </w:rPr>
        <w:br w:type="page"/>
      </w:r>
    </w:p>
    <w:p>
      <w:pPr>
        <w:keepNext/>
        <w:keepLines/>
        <w:spacing w:before="340" w:after="330" w:line="576" w:lineRule="auto"/>
        <w:ind w:firstLine="0" w:firstLineChars="0"/>
        <w:jc w:val="center"/>
        <w:outlineLvl w:val="0"/>
        <w:rPr>
          <w:rFonts w:ascii="Times New Roman" w:hAnsi="Times New Roman" w:eastAsia="宋体" w:cs="Times New Roman"/>
          <w:b/>
          <w:kern w:val="44"/>
          <w:szCs w:val="24"/>
        </w:rPr>
      </w:pPr>
      <w:bookmarkStart w:id="7" w:name="_Toc167291578"/>
      <w:r>
        <w:rPr>
          <w:rFonts w:hint="eastAsia" w:ascii="Times New Roman" w:hAnsi="Times New Roman" w:eastAsia="宋体" w:cs="Times New Roman"/>
          <w:b/>
          <w:kern w:val="44"/>
          <w:szCs w:val="24"/>
        </w:rPr>
        <w:t xml:space="preserve">第五部分 </w:t>
      </w:r>
      <w:r>
        <w:rPr>
          <w:rFonts w:ascii="Times New Roman" w:hAnsi="Times New Roman" w:eastAsia="宋体" w:cs="Times New Roman"/>
          <w:b/>
          <w:kern w:val="44"/>
          <w:szCs w:val="24"/>
        </w:rPr>
        <w:t xml:space="preserve"> </w:t>
      </w:r>
      <w:r>
        <w:rPr>
          <w:rFonts w:hint="eastAsia" w:ascii="Times New Roman" w:hAnsi="Times New Roman" w:eastAsia="宋体" w:cs="Times New Roman"/>
          <w:b/>
          <w:kern w:val="44"/>
          <w:szCs w:val="24"/>
        </w:rPr>
        <w:t>竞买签署文件</w:t>
      </w:r>
      <w:bookmarkEnd w:id="7"/>
    </w:p>
    <w:p>
      <w:pPr>
        <w:pStyle w:val="3"/>
        <w:ind w:firstLine="602"/>
        <w:jc w:val="center"/>
        <w:rPr>
          <w:rFonts w:ascii="方正小标宋简体" w:eastAsia="方正小标宋简体"/>
          <w:color w:val="000000" w:themeColor="text1"/>
          <w:sz w:val="44"/>
          <w:szCs w:val="44"/>
          <w14:textFill>
            <w14:solidFill>
              <w14:schemeClr w14:val="tx1"/>
            </w14:solidFill>
          </w14:textFill>
        </w:rPr>
      </w:pPr>
      <w:bookmarkStart w:id="8" w:name="_Toc167291579"/>
      <w:r>
        <w:rPr>
          <w:rFonts w:hint="eastAsia" w:ascii="Arial" w:hAnsi="Arial" w:eastAsia="新宋体" w:cs="Times New Roman"/>
          <w:sz w:val="30"/>
          <w:szCs w:val="24"/>
        </w:rPr>
        <w:t>一、</w:t>
      </w:r>
      <w:r>
        <w:rPr>
          <w:rFonts w:hint="eastAsia" w:ascii="方正小标宋简体" w:eastAsia="方正小标宋简体"/>
          <w:color w:val="000000" w:themeColor="text1"/>
          <w:sz w:val="44"/>
          <w:szCs w:val="44"/>
          <w14:textFill>
            <w14:solidFill>
              <w14:schemeClr w14:val="tx1"/>
            </w14:solidFill>
          </w14:textFill>
        </w:rPr>
        <w:t>山东省公共资源交易中心资产及权益公开处置系统</w:t>
      </w:r>
      <w:bookmarkStart w:id="9" w:name="_Toc22989"/>
      <w:bookmarkStart w:id="10" w:name="_Toc23382"/>
      <w:bookmarkStart w:id="11" w:name="_Toc2866"/>
      <w:bookmarkStart w:id="12" w:name="_Toc14487"/>
      <w:bookmarkStart w:id="13" w:name="_Toc27054"/>
      <w:bookmarkStart w:id="14" w:name="_Toc25401"/>
      <w:bookmarkStart w:id="15" w:name="_Toc28580"/>
      <w:bookmarkStart w:id="16" w:name="_Toc18506"/>
      <w:bookmarkStart w:id="17" w:name="_Toc5177"/>
      <w:bookmarkStart w:id="18" w:name="_Toc10049"/>
      <w:bookmarkStart w:id="19" w:name="_Toc18725"/>
      <w:bookmarkStart w:id="20" w:name="_Toc30538"/>
      <w:bookmarkStart w:id="21" w:name="_Toc10699"/>
      <w:r>
        <w:rPr>
          <w:rFonts w:hint="eastAsia" w:ascii="方正小标宋简体" w:eastAsia="方正小标宋简体"/>
          <w:color w:val="000000" w:themeColor="text1"/>
          <w:sz w:val="44"/>
          <w:szCs w:val="44"/>
          <w14:textFill>
            <w14:solidFill>
              <w14:schemeClr w14:val="tx1"/>
            </w14:solidFill>
          </w14:textFill>
        </w:rPr>
        <w:t>公开竞价承诺书</w:t>
      </w:r>
      <w:bookmarkEnd w:id="8"/>
      <w:bookmarkEnd w:id="9"/>
      <w:bookmarkEnd w:id="10"/>
      <w:bookmarkEnd w:id="11"/>
      <w:bookmarkEnd w:id="12"/>
      <w:bookmarkEnd w:id="13"/>
      <w:bookmarkEnd w:id="14"/>
      <w:bookmarkEnd w:id="15"/>
      <w:bookmarkEnd w:id="16"/>
      <w:bookmarkEnd w:id="17"/>
      <w:bookmarkEnd w:id="18"/>
      <w:bookmarkEnd w:id="19"/>
      <w:bookmarkEnd w:id="20"/>
      <w:bookmarkEnd w:id="21"/>
    </w:p>
    <w:p>
      <w:pPr>
        <w:widowControl/>
        <w:spacing w:before="156" w:beforeLines="50" w:after="120" w:line="360" w:lineRule="auto"/>
        <w:ind w:firstLine="0" w:firstLineChars="0"/>
        <w:jc w:val="center"/>
        <w:rPr>
          <w:rFonts w:ascii="方正小标宋简体" w:eastAsia="方正小标宋简体"/>
          <w:color w:val="000000" w:themeColor="text1"/>
          <w:sz w:val="44"/>
          <w:szCs w:val="44"/>
          <w14:textFill>
            <w14:solidFill>
              <w14:schemeClr w14:val="tx1"/>
            </w14:solidFill>
          </w14:textFill>
        </w:rPr>
      </w:pPr>
      <w:r>
        <w:rPr>
          <w:rFonts w:hint="eastAsia" w:hAnsi="仿宋" w:cs="方正楷体_GB2312"/>
          <w:b/>
          <w:bCs/>
          <w:szCs w:val="32"/>
        </w:rPr>
        <w:t>（竞买人）</w:t>
      </w:r>
    </w:p>
    <w:p>
      <w:pPr>
        <w:spacing w:line="480" w:lineRule="auto"/>
        <w:ind w:firstLine="0" w:firstLineChars="0"/>
        <w:rPr>
          <w:rFonts w:ascii="宋体" w:hAnsi="宋体" w:eastAsia="宋体"/>
          <w:sz w:val="24"/>
          <w:szCs w:val="24"/>
        </w:rPr>
      </w:pPr>
      <w:r>
        <w:rPr>
          <w:rFonts w:hint="eastAsia" w:ascii="宋体" w:hAnsi="宋体" w:eastAsia="宋体"/>
          <w:sz w:val="24"/>
          <w:szCs w:val="24"/>
        </w:rPr>
        <w:t xml:space="preserve">山东功致拍卖有限公司： </w:t>
      </w:r>
    </w:p>
    <w:p>
      <w:pPr>
        <w:spacing w:line="480" w:lineRule="auto"/>
        <w:ind w:firstLine="480"/>
        <w:rPr>
          <w:rFonts w:ascii="宋体" w:hAnsi="宋体" w:eastAsia="宋体"/>
          <w:sz w:val="24"/>
          <w:szCs w:val="24"/>
        </w:rPr>
      </w:pPr>
      <w:r>
        <w:rPr>
          <w:rFonts w:hint="eastAsia" w:ascii="宋体" w:hAnsi="宋体" w:eastAsia="宋体"/>
          <w:sz w:val="24"/>
          <w:szCs w:val="24"/>
        </w:rPr>
        <w:t>在充分了解《山东省公共资源交易中心资产及权益公开处置系统运行管理办法》（试行）等相关规定后，我方自愿参与</w:t>
      </w:r>
      <w:r>
        <w:rPr>
          <w:rFonts w:hint="eastAsia" w:ascii="宋体" w:hAnsi="宋体" w:eastAsia="宋体"/>
          <w:sz w:val="24"/>
          <w:szCs w:val="24"/>
          <w:u w:val="single"/>
        </w:rPr>
        <w:t xml:space="preserve"> 滨州海警局查扣锌锭、再生铅锑合金（铅制品）及铅精矿（粉）各一宗</w:t>
      </w:r>
      <w:r>
        <w:rPr>
          <w:rFonts w:hint="eastAsia" w:ascii="宋体" w:hAnsi="宋体" w:eastAsia="宋体"/>
          <w:sz w:val="24"/>
          <w:szCs w:val="24"/>
        </w:rPr>
        <w:t>公开拍卖项目公开竞价，现依照诚实信用的原则，就参与本项目公开竞价活动做出如下承诺：</w:t>
      </w:r>
    </w:p>
    <w:p>
      <w:pPr>
        <w:spacing w:line="480" w:lineRule="auto"/>
        <w:ind w:firstLine="480"/>
        <w:rPr>
          <w:rFonts w:ascii="宋体" w:hAnsi="宋体" w:eastAsia="宋体"/>
          <w:sz w:val="24"/>
          <w:szCs w:val="24"/>
        </w:rPr>
      </w:pPr>
      <w:r>
        <w:rPr>
          <w:rFonts w:hint="eastAsia" w:ascii="宋体" w:hAnsi="宋体" w:eastAsia="宋体"/>
          <w:sz w:val="24"/>
          <w:szCs w:val="24"/>
        </w:rPr>
        <w:t>我方已仔细阅读本项目《公开招募文件》《竞价协议》等拍卖文件，全面了解网络竞价的交易方式和规则，接受贵方采取网络公开竞价方式组织本次公开招募活动，参与报价程序，遵守相关约定，承诺在资产拍卖竞价系统中的一切行为均代表我方的真实意思表示。</w:t>
      </w:r>
    </w:p>
    <w:p>
      <w:pPr>
        <w:spacing w:line="480" w:lineRule="auto"/>
        <w:ind w:firstLine="480"/>
        <w:rPr>
          <w:rFonts w:ascii="宋体" w:hAnsi="宋体" w:eastAsia="宋体"/>
          <w:sz w:val="24"/>
          <w:szCs w:val="24"/>
        </w:rPr>
      </w:pPr>
      <w:r>
        <w:rPr>
          <w:rFonts w:hint="eastAsia" w:ascii="宋体" w:hAnsi="宋体" w:eastAsia="宋体"/>
          <w:sz w:val="24"/>
          <w:szCs w:val="24"/>
        </w:rPr>
        <w:t>我方愿意以不低于起始价报价参与本次公开招募。</w:t>
      </w:r>
    </w:p>
    <w:p>
      <w:pPr>
        <w:spacing w:line="480" w:lineRule="auto"/>
        <w:ind w:firstLine="480"/>
        <w:rPr>
          <w:rFonts w:ascii="宋体" w:hAnsi="宋体" w:eastAsia="宋体"/>
          <w:sz w:val="24"/>
          <w:szCs w:val="24"/>
        </w:rPr>
      </w:pPr>
      <w:r>
        <w:rPr>
          <w:rFonts w:hint="eastAsia" w:ascii="宋体" w:hAnsi="宋体" w:eastAsia="宋体"/>
          <w:sz w:val="24"/>
          <w:szCs w:val="24"/>
        </w:rPr>
        <w:t>我方已进行并完成针对本项目交易标的现场勘察（包括但不限于查阅标的相关权属文件），认可本项目交易标的现状。我方自行承担包括但不限于因所获取的信息不全面、错误或误解等而产生的相应后果。</w:t>
      </w:r>
    </w:p>
    <w:p>
      <w:pPr>
        <w:spacing w:line="480" w:lineRule="auto"/>
        <w:ind w:firstLine="480"/>
        <w:rPr>
          <w:rFonts w:ascii="宋体" w:hAnsi="宋体" w:eastAsia="宋体"/>
          <w:sz w:val="24"/>
          <w:szCs w:val="24"/>
        </w:rPr>
      </w:pPr>
      <w:r>
        <w:rPr>
          <w:rFonts w:hint="eastAsia" w:ascii="宋体" w:hAnsi="宋体" w:eastAsia="宋体"/>
          <w:sz w:val="24"/>
          <w:szCs w:val="24"/>
        </w:rPr>
        <w:t>我方认可贵方通过本承诺书中载明的我方手机号码或电子邮箱发送交易相关通知。贵方成功发送手机短信或电子邮件，即视为我方已经收到相关通知。</w:t>
      </w:r>
    </w:p>
    <w:p>
      <w:pPr>
        <w:spacing w:line="480" w:lineRule="auto"/>
        <w:ind w:firstLine="480"/>
        <w:rPr>
          <w:rFonts w:ascii="宋体" w:hAnsi="宋体" w:eastAsia="宋体"/>
          <w:sz w:val="24"/>
          <w:szCs w:val="24"/>
        </w:rPr>
      </w:pPr>
      <w:r>
        <w:rPr>
          <w:rFonts w:hint="eastAsia" w:ascii="宋体" w:hAnsi="宋体" w:eastAsia="宋体"/>
          <w:sz w:val="24"/>
          <w:szCs w:val="24"/>
        </w:rPr>
        <w:t>我方同意并承诺符合本项目《拍卖文件》中的条件，如因资格不符对出让人及贵方造成损失的，我方承担违约责任。</w:t>
      </w:r>
    </w:p>
    <w:p>
      <w:pPr>
        <w:spacing w:line="480" w:lineRule="auto"/>
        <w:ind w:firstLine="480"/>
        <w:rPr>
          <w:rFonts w:ascii="宋体" w:hAnsi="宋体" w:eastAsia="宋体"/>
          <w:sz w:val="24"/>
          <w:szCs w:val="24"/>
        </w:rPr>
      </w:pPr>
      <w:r>
        <w:rPr>
          <w:rFonts w:hint="eastAsia" w:ascii="宋体" w:hAnsi="宋体" w:eastAsia="宋体"/>
          <w:sz w:val="24"/>
          <w:szCs w:val="24"/>
        </w:rPr>
        <w:t>我方同意，如我方违反本项目《拍卖文件》及本承诺书时，出让人有权取消我方的竞价资格，并同意出让人扣收我方交纳的保证金。</w:t>
      </w:r>
    </w:p>
    <w:p>
      <w:pPr>
        <w:spacing w:line="480" w:lineRule="auto"/>
        <w:ind w:firstLine="480"/>
        <w:rPr>
          <w:rFonts w:ascii="宋体" w:hAnsi="宋体" w:eastAsia="宋体"/>
          <w:sz w:val="24"/>
          <w:szCs w:val="24"/>
        </w:rPr>
      </w:pPr>
      <w:r>
        <w:rPr>
          <w:rFonts w:hint="eastAsia" w:ascii="宋体" w:hAnsi="宋体" w:eastAsia="宋体"/>
          <w:sz w:val="24"/>
          <w:szCs w:val="24"/>
        </w:rPr>
        <w:t>我方同意，被确定为受让人后不能在规定时间内付清成交价款及成交佣金、按要求完成项目移交的，出让人及其代理人有权取消我的受让资格，并没收我交纳保证金转为的违约金。</w:t>
      </w:r>
    </w:p>
    <w:p>
      <w:pPr>
        <w:spacing w:line="480" w:lineRule="auto"/>
        <w:ind w:firstLine="480"/>
        <w:rPr>
          <w:rFonts w:ascii="宋体" w:hAnsi="宋体" w:eastAsia="宋体"/>
          <w:sz w:val="24"/>
          <w:szCs w:val="24"/>
        </w:rPr>
      </w:pPr>
      <w:r>
        <w:rPr>
          <w:rFonts w:hint="eastAsia" w:ascii="宋体" w:hAnsi="宋体" w:eastAsia="宋体"/>
          <w:sz w:val="24"/>
          <w:szCs w:val="24"/>
        </w:rPr>
        <w:t>如有违反上述承诺及相关规定，以及造成不良后果，我方自愿接受相关处罚，承担相应责任。</w:t>
      </w:r>
    </w:p>
    <w:p>
      <w:pPr>
        <w:widowControl/>
        <w:spacing w:line="400" w:lineRule="exact"/>
        <w:ind w:left="283" w:firstLine="408" w:firstLineChars="170"/>
        <w:jc w:val="lef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xml:space="preserve">                     </w:t>
      </w:r>
    </w:p>
    <w:p>
      <w:pPr>
        <w:widowControl/>
        <w:spacing w:line="400" w:lineRule="exact"/>
        <w:ind w:left="283" w:firstLine="408" w:firstLineChars="170"/>
        <w:jc w:val="center"/>
        <w:rPr>
          <w:rFonts w:cs="仿宋" w:asciiTheme="minorEastAsia" w:hAnsiTheme="minorEastAsia" w:eastAsiaTheme="minorEastAsia"/>
          <w:color w:val="000000"/>
          <w:sz w:val="24"/>
          <w:szCs w:val="24"/>
        </w:rPr>
      </w:pPr>
    </w:p>
    <w:p>
      <w:pPr>
        <w:widowControl/>
        <w:spacing w:line="480" w:lineRule="auto"/>
        <w:ind w:left="283" w:firstLine="408" w:firstLineChars="170"/>
        <w:jc w:val="center"/>
        <w:rPr>
          <w:rFonts w:cs="仿宋" w:asciiTheme="minorEastAsia" w:hAnsiTheme="minorEastAsia" w:eastAsiaTheme="minorEastAsia"/>
          <w:color w:val="000000"/>
          <w:sz w:val="24"/>
          <w:szCs w:val="24"/>
        </w:rPr>
      </w:pPr>
      <w:r>
        <w:rPr>
          <w:rFonts w:hint="eastAsia" w:cs="仿宋" w:asciiTheme="minorEastAsia" w:hAnsiTheme="minorEastAsia" w:eastAsiaTheme="minorEastAsia"/>
          <w:color w:val="000000"/>
          <w:sz w:val="24"/>
          <w:szCs w:val="24"/>
        </w:rPr>
        <w:t>竞买人（签名或盖章）：</w:t>
      </w:r>
    </w:p>
    <w:p>
      <w:pPr>
        <w:widowControl/>
        <w:spacing w:line="480" w:lineRule="auto"/>
        <w:ind w:firstLine="4960" w:firstLineChars="2067"/>
        <w:rPr>
          <w:rFonts w:cs="仿宋" w:asciiTheme="minorEastAsia" w:hAnsiTheme="minorEastAsia" w:eastAsiaTheme="minorEastAsia"/>
          <w:color w:val="000000"/>
          <w:sz w:val="24"/>
          <w:szCs w:val="24"/>
        </w:rPr>
      </w:pPr>
      <w:r>
        <w:rPr>
          <w:rFonts w:hint="eastAsia" w:cs="仿宋" w:asciiTheme="minorEastAsia" w:hAnsiTheme="minorEastAsia" w:eastAsiaTheme="minorEastAsia"/>
          <w:color w:val="000000"/>
          <w:sz w:val="24"/>
          <w:szCs w:val="24"/>
        </w:rPr>
        <w:t>手机号：</w:t>
      </w:r>
    </w:p>
    <w:p>
      <w:pPr>
        <w:widowControl/>
        <w:spacing w:line="480" w:lineRule="auto"/>
        <w:ind w:firstLine="4960" w:firstLineChars="2067"/>
        <w:rPr>
          <w:rFonts w:cs="仿宋" w:asciiTheme="minorEastAsia" w:hAnsiTheme="minorEastAsia" w:eastAsiaTheme="minorEastAsia"/>
          <w:color w:val="000000"/>
          <w:sz w:val="24"/>
          <w:szCs w:val="24"/>
        </w:rPr>
      </w:pPr>
      <w:r>
        <w:rPr>
          <w:rFonts w:hint="eastAsia" w:cs="仿宋" w:asciiTheme="minorEastAsia" w:hAnsiTheme="minorEastAsia" w:eastAsiaTheme="minorEastAsia"/>
          <w:color w:val="000000"/>
          <w:sz w:val="24"/>
          <w:szCs w:val="24"/>
        </w:rPr>
        <w:t>邮  箱：</w:t>
      </w:r>
    </w:p>
    <w:p>
      <w:pPr>
        <w:widowControl/>
        <w:spacing w:line="480" w:lineRule="auto"/>
        <w:ind w:firstLine="4960" w:firstLineChars="2067"/>
        <w:rPr>
          <w:rFonts w:cs="方正楷体_GB2312" w:asciiTheme="minorEastAsia" w:hAnsiTheme="minorEastAsia" w:eastAsiaTheme="minorEastAsia"/>
          <w:sz w:val="24"/>
          <w:szCs w:val="24"/>
        </w:rPr>
      </w:pPr>
      <w:r>
        <w:rPr>
          <w:rFonts w:hint="eastAsia" w:cs="仿宋" w:asciiTheme="minorEastAsia" w:hAnsiTheme="minorEastAsia" w:eastAsiaTheme="minorEastAsia"/>
          <w:sz w:val="24"/>
          <w:szCs w:val="24"/>
        </w:rPr>
        <w:t>日  期:   年   月   日</w:t>
      </w:r>
    </w:p>
    <w:p>
      <w:pPr>
        <w:keepNext/>
        <w:keepLines/>
        <w:widowControl/>
        <w:spacing w:before="260" w:after="28" w:line="460" w:lineRule="exact"/>
        <w:ind w:firstLine="0" w:firstLineChars="0"/>
        <w:jc w:val="center"/>
        <w:outlineLvl w:val="1"/>
        <w:rPr>
          <w:rFonts w:ascii="Arial" w:hAnsi="Arial" w:eastAsia="新宋体" w:cs="Times New Roman"/>
          <w:bCs/>
          <w:sz w:val="30"/>
          <w:szCs w:val="24"/>
        </w:rPr>
      </w:pPr>
      <w:r>
        <w:rPr>
          <w:rFonts w:ascii="宋体" w:hAnsi="宋体" w:eastAsia="宋体"/>
          <w:color w:val="000000"/>
          <w:sz w:val="24"/>
          <w:szCs w:val="24"/>
          <w:u w:color="000000"/>
        </w:rPr>
        <w:br w:type="page"/>
      </w:r>
      <w:bookmarkStart w:id="22" w:name="_Toc167291580"/>
      <w:r>
        <w:rPr>
          <w:rFonts w:hint="eastAsia" w:ascii="Arial" w:hAnsi="Arial" w:eastAsia="新宋体" w:cs="Times New Roman"/>
          <w:bCs/>
          <w:sz w:val="30"/>
          <w:szCs w:val="24"/>
        </w:rPr>
        <w:t>二、竞买协议</w:t>
      </w:r>
      <w:bookmarkEnd w:id="22"/>
    </w:p>
    <w:p>
      <w:pPr>
        <w:spacing w:line="480" w:lineRule="auto"/>
        <w:ind w:firstLine="448" w:firstLineChars="187"/>
        <w:rPr>
          <w:rFonts w:ascii="宋体" w:hAnsi="宋体" w:eastAsia="宋体"/>
          <w:color w:val="000000"/>
          <w:kern w:val="0"/>
          <w:sz w:val="24"/>
          <w:szCs w:val="24"/>
        </w:rPr>
      </w:pPr>
      <w:r>
        <w:rPr>
          <w:rFonts w:hint="eastAsia" w:ascii="宋体" w:hAnsi="宋体" w:eastAsia="宋体"/>
          <w:color w:val="000000"/>
          <w:kern w:val="0"/>
          <w:sz w:val="24"/>
          <w:szCs w:val="24"/>
        </w:rPr>
        <w:t>签约地点：济南市</w:t>
      </w:r>
    </w:p>
    <w:p>
      <w:pPr>
        <w:spacing w:line="480" w:lineRule="auto"/>
        <w:ind w:firstLine="448" w:firstLineChars="187"/>
        <w:rPr>
          <w:rFonts w:ascii="宋体" w:hAnsi="宋体" w:eastAsia="宋体"/>
          <w:color w:val="000000"/>
          <w:kern w:val="0"/>
          <w:sz w:val="24"/>
          <w:szCs w:val="24"/>
        </w:rPr>
      </w:pPr>
      <w:r>
        <w:rPr>
          <w:rFonts w:hint="eastAsia" w:ascii="宋体" w:hAnsi="宋体" w:eastAsia="宋体"/>
          <w:color w:val="000000"/>
          <w:kern w:val="0"/>
          <w:sz w:val="24"/>
          <w:szCs w:val="24"/>
        </w:rPr>
        <w:t xml:space="preserve">签约时间： </w:t>
      </w:r>
      <w:r>
        <w:rPr>
          <w:rFonts w:ascii="宋体" w:hAnsi="宋体" w:eastAsia="宋体"/>
          <w:color w:val="000000"/>
          <w:kern w:val="0"/>
          <w:sz w:val="24"/>
          <w:szCs w:val="24"/>
        </w:rPr>
        <w:t xml:space="preserve">  </w:t>
      </w:r>
      <w:r>
        <w:rPr>
          <w:rFonts w:hint="eastAsia" w:ascii="宋体" w:hAnsi="宋体" w:eastAsia="宋体"/>
          <w:color w:val="000000"/>
          <w:kern w:val="0"/>
          <w:sz w:val="24"/>
          <w:szCs w:val="24"/>
        </w:rPr>
        <w:t>年   月   日</w:t>
      </w:r>
    </w:p>
    <w:p>
      <w:pPr>
        <w:spacing w:line="480" w:lineRule="auto"/>
        <w:ind w:firstLine="448" w:firstLineChars="187"/>
        <w:rPr>
          <w:rFonts w:ascii="宋体" w:hAnsi="宋体" w:eastAsia="宋体"/>
          <w:color w:val="000000"/>
          <w:kern w:val="0"/>
          <w:sz w:val="24"/>
          <w:szCs w:val="24"/>
        </w:rPr>
      </w:pPr>
      <w:r>
        <w:rPr>
          <w:rFonts w:hint="eastAsia" w:ascii="宋体" w:hAnsi="宋体" w:eastAsia="宋体"/>
          <w:color w:val="000000"/>
          <w:kern w:val="0"/>
          <w:sz w:val="24"/>
          <w:szCs w:val="24"/>
        </w:rPr>
        <w:t>甲方：山东功致拍卖有限公司</w:t>
      </w:r>
    </w:p>
    <w:p>
      <w:pPr>
        <w:spacing w:line="480" w:lineRule="auto"/>
        <w:ind w:firstLine="448" w:firstLineChars="187"/>
        <w:rPr>
          <w:rFonts w:ascii="宋体" w:hAnsi="宋体" w:eastAsia="宋体"/>
          <w:color w:val="000000"/>
          <w:kern w:val="0"/>
          <w:sz w:val="24"/>
          <w:szCs w:val="24"/>
        </w:rPr>
      </w:pPr>
      <w:r>
        <w:rPr>
          <w:rFonts w:hint="eastAsia" w:ascii="宋体" w:hAnsi="宋体" w:eastAsia="宋体"/>
          <w:color w:val="000000"/>
          <w:kern w:val="0"/>
          <w:sz w:val="24"/>
          <w:szCs w:val="24"/>
        </w:rPr>
        <w:t>乙方：</w:t>
      </w:r>
    </w:p>
    <w:p>
      <w:pPr>
        <w:spacing w:line="480" w:lineRule="auto"/>
        <w:ind w:firstLine="0" w:firstLineChars="0"/>
        <w:rPr>
          <w:rFonts w:ascii="宋体" w:hAnsi="宋体" w:eastAsia="宋体" w:cs="Times New Roman"/>
          <w:spacing w:val="8"/>
          <w:sz w:val="24"/>
          <w:szCs w:val="24"/>
        </w:rPr>
      </w:pPr>
      <w:r>
        <w:rPr>
          <w:rFonts w:hint="eastAsia" w:ascii="宋体" w:hAnsi="宋体" w:eastAsia="宋体"/>
          <w:color w:val="000000"/>
          <w:kern w:val="0"/>
          <w:sz w:val="24"/>
          <w:szCs w:val="24"/>
        </w:rPr>
        <w:t xml:space="preserve">       依照《中华人民共和国民法典》规定，甲、乙双方就乙方登记报名参与本次拍卖</w:t>
      </w:r>
      <w:r>
        <w:rPr>
          <w:rFonts w:hint="eastAsia" w:ascii="宋体" w:hAnsi="宋体" w:eastAsia="宋体" w:cs="Times New Roman"/>
          <w:spacing w:val="8"/>
          <w:sz w:val="24"/>
          <w:szCs w:val="24"/>
        </w:rPr>
        <w:t>事宜达成如下协议：</w:t>
      </w:r>
    </w:p>
    <w:p>
      <w:pPr>
        <w:spacing w:line="480" w:lineRule="auto"/>
        <w:ind w:left="29" w:leftChars="9" w:firstLine="458" w:firstLineChars="191"/>
        <w:rPr>
          <w:rFonts w:ascii="宋体" w:hAnsi="宋体" w:eastAsia="宋体"/>
          <w:color w:val="000000"/>
          <w:sz w:val="24"/>
          <w:szCs w:val="24"/>
        </w:rPr>
      </w:pPr>
      <w:r>
        <w:rPr>
          <w:rFonts w:hint="eastAsia" w:ascii="宋体" w:hAnsi="宋体" w:eastAsia="宋体"/>
          <w:color w:val="000000"/>
          <w:kern w:val="0"/>
          <w:sz w:val="24"/>
          <w:szCs w:val="24"/>
        </w:rPr>
        <w:t>一、山东功致拍卖有限公司对</w:t>
      </w:r>
      <w:r>
        <w:rPr>
          <w:rFonts w:hint="eastAsia" w:ascii="宋体" w:hAnsi="宋体" w:eastAsia="宋体"/>
          <w:color w:val="000000"/>
          <w:kern w:val="0"/>
          <w:sz w:val="24"/>
          <w:szCs w:val="24"/>
          <w:u w:val="single"/>
        </w:rPr>
        <w:t xml:space="preserve"> </w:t>
      </w:r>
      <w:r>
        <w:rPr>
          <w:rFonts w:hint="eastAsia" w:ascii="Times New Roman" w:hAnsi="Times New Roman" w:eastAsia="宋体" w:cs="Times New Roman"/>
          <w:sz w:val="24"/>
          <w:szCs w:val="24"/>
          <w:u w:val="single"/>
        </w:rPr>
        <w:t>滨州海警局查扣</w:t>
      </w:r>
      <w:r>
        <w:rPr>
          <w:rFonts w:hint="eastAsia" w:ascii="宋体" w:hAnsi="宋体" w:eastAsia="宋体"/>
          <w:color w:val="000000"/>
          <w:kern w:val="0"/>
          <w:sz w:val="24"/>
          <w:szCs w:val="24"/>
          <w:u w:val="single"/>
        </w:rPr>
        <w:t>锌锭、再生铅锑合金（铅制品）及铅精矿（粉）各一宗</w:t>
      </w:r>
      <w:r>
        <w:rPr>
          <w:rFonts w:hint="eastAsia" w:ascii="宋体" w:hAnsi="宋体" w:eastAsia="宋体"/>
          <w:color w:val="000000"/>
          <w:kern w:val="0"/>
          <w:sz w:val="24"/>
          <w:szCs w:val="24"/>
        </w:rPr>
        <w:t>公开拍卖项目</w:t>
      </w:r>
      <w:r>
        <w:rPr>
          <w:rFonts w:hint="eastAsia" w:ascii="宋体" w:hAnsi="宋体" w:eastAsia="宋体"/>
          <w:color w:val="000000"/>
          <w:sz w:val="24"/>
          <w:szCs w:val="24"/>
        </w:rPr>
        <w:t>，于</w:t>
      </w:r>
      <w:r>
        <w:rPr>
          <w:rFonts w:hint="eastAsia" w:ascii="宋体" w:hAnsi="宋体" w:eastAsia="宋体"/>
          <w:color w:val="000000"/>
          <w:kern w:val="0"/>
          <w:sz w:val="24"/>
          <w:szCs w:val="24"/>
          <w:u w:val="single"/>
        </w:rPr>
        <w:t>2024</w:t>
      </w:r>
      <w:r>
        <w:rPr>
          <w:rFonts w:hint="eastAsia" w:ascii="宋体" w:hAnsi="宋体" w:eastAsia="宋体"/>
          <w:color w:val="000000"/>
          <w:kern w:val="0"/>
          <w:sz w:val="24"/>
          <w:szCs w:val="24"/>
        </w:rPr>
        <w:t>年</w:t>
      </w:r>
      <w:r>
        <w:rPr>
          <w:rFonts w:hint="eastAsia" w:ascii="宋体" w:hAnsi="宋体" w:eastAsia="宋体"/>
          <w:color w:val="000000"/>
          <w:kern w:val="0"/>
          <w:sz w:val="24"/>
          <w:szCs w:val="24"/>
          <w:u w:val="single"/>
        </w:rPr>
        <w:t>6</w:t>
      </w:r>
      <w:r>
        <w:rPr>
          <w:rFonts w:hint="eastAsia" w:ascii="宋体" w:hAnsi="宋体" w:eastAsia="宋体"/>
          <w:color w:val="000000"/>
          <w:kern w:val="0"/>
          <w:sz w:val="24"/>
          <w:szCs w:val="24"/>
        </w:rPr>
        <w:t>月</w:t>
      </w:r>
      <w:r>
        <w:rPr>
          <w:rFonts w:hint="eastAsia" w:ascii="宋体" w:hAnsi="宋体" w:eastAsia="宋体"/>
          <w:color w:val="000000"/>
          <w:kern w:val="0"/>
          <w:sz w:val="24"/>
          <w:szCs w:val="24"/>
          <w:u w:val="single"/>
        </w:rPr>
        <w:t>11</w:t>
      </w:r>
      <w:r>
        <w:rPr>
          <w:rFonts w:hint="eastAsia" w:ascii="宋体" w:hAnsi="宋体" w:eastAsia="宋体"/>
          <w:color w:val="000000"/>
          <w:kern w:val="0"/>
          <w:sz w:val="24"/>
          <w:szCs w:val="24"/>
        </w:rPr>
        <w:t>日</w:t>
      </w:r>
      <w:r>
        <w:rPr>
          <w:rFonts w:hint="eastAsia" w:ascii="宋体" w:hAnsi="宋体" w:eastAsia="宋体"/>
          <w:color w:val="000000"/>
          <w:kern w:val="0"/>
          <w:sz w:val="24"/>
          <w:szCs w:val="24"/>
          <w:u w:val="single"/>
        </w:rPr>
        <w:t>10</w:t>
      </w:r>
      <w:r>
        <w:rPr>
          <w:rFonts w:hint="eastAsia" w:ascii="宋体" w:hAnsi="宋体" w:eastAsia="宋体"/>
          <w:color w:val="000000"/>
          <w:kern w:val="0"/>
          <w:sz w:val="24"/>
          <w:szCs w:val="24"/>
        </w:rPr>
        <w:t>时</w:t>
      </w:r>
      <w:r>
        <w:rPr>
          <w:rFonts w:hint="eastAsia" w:ascii="宋体" w:hAnsi="宋体" w:eastAsia="宋体"/>
          <w:color w:val="000000"/>
          <w:kern w:val="0"/>
          <w:sz w:val="24"/>
          <w:szCs w:val="24"/>
          <w:u w:val="single"/>
        </w:rPr>
        <w:t>00</w:t>
      </w:r>
      <w:r>
        <w:rPr>
          <w:rFonts w:hint="eastAsia" w:ascii="宋体" w:hAnsi="宋体" w:eastAsia="宋体"/>
          <w:color w:val="000000"/>
          <w:kern w:val="0"/>
          <w:sz w:val="24"/>
          <w:szCs w:val="24"/>
        </w:rPr>
        <w:t>分开始（延</w:t>
      </w:r>
      <w:r>
        <w:rPr>
          <w:rFonts w:hint="eastAsia" w:ascii="宋体" w:hAnsi="宋体" w:eastAsia="宋体"/>
          <w:color w:val="000000"/>
          <w:sz w:val="24"/>
          <w:szCs w:val="24"/>
        </w:rPr>
        <w:t>时除外）在“山东省公共资源交易中心网站-权益类交易平台-资产处置系统”（网址</w:t>
      </w:r>
      <w:r>
        <w:rPr>
          <w:rFonts w:ascii="宋体" w:hAnsi="宋体" w:eastAsia="宋体"/>
          <w:color w:val="000000"/>
          <w:sz w:val="24"/>
          <w:szCs w:val="24"/>
        </w:rPr>
        <w:t>http://ggzyjyzx.shandong.gov.cn</w:t>
      </w:r>
      <w:r>
        <w:rPr>
          <w:rFonts w:hint="eastAsia" w:ascii="宋体" w:hAnsi="宋体" w:eastAsia="宋体"/>
          <w:color w:val="000000"/>
          <w:sz w:val="24"/>
          <w:szCs w:val="24"/>
        </w:rPr>
        <w:t>）举行拍卖会。</w:t>
      </w:r>
    </w:p>
    <w:p>
      <w:pPr>
        <w:spacing w:line="480" w:lineRule="auto"/>
        <w:ind w:firstLine="448" w:firstLineChars="187"/>
        <w:rPr>
          <w:rFonts w:ascii="宋体" w:hAnsi="宋体" w:eastAsia="宋体"/>
          <w:color w:val="000000"/>
          <w:kern w:val="0"/>
          <w:sz w:val="24"/>
          <w:szCs w:val="24"/>
        </w:rPr>
      </w:pPr>
      <w:r>
        <w:rPr>
          <w:rFonts w:hint="eastAsia" w:ascii="宋体" w:hAnsi="宋体" w:eastAsia="宋体"/>
          <w:color w:val="000000"/>
          <w:kern w:val="0"/>
          <w:sz w:val="24"/>
          <w:szCs w:val="24"/>
        </w:rPr>
        <w:t>二、乙方已在拍卖文件规定的展示时间内详细了解标的物的现状，并实地查看了标的及标的有关资料。标的以公开展示时的现状为准，甲方不承担瑕疵担保责任。</w:t>
      </w:r>
    </w:p>
    <w:p>
      <w:pPr>
        <w:spacing w:line="480" w:lineRule="auto"/>
        <w:ind w:firstLine="448" w:firstLineChars="187"/>
        <w:rPr>
          <w:rFonts w:ascii="宋体" w:hAnsi="宋体" w:eastAsia="宋体"/>
          <w:color w:val="000000"/>
          <w:sz w:val="24"/>
          <w:szCs w:val="24"/>
        </w:rPr>
      </w:pPr>
      <w:r>
        <w:rPr>
          <w:rFonts w:hint="eastAsia" w:ascii="宋体" w:hAnsi="宋体" w:eastAsia="宋体"/>
          <w:color w:val="000000"/>
          <w:kern w:val="0"/>
          <w:sz w:val="24"/>
          <w:szCs w:val="24"/>
        </w:rPr>
        <w:t>三、本次拍卖采用网络竞价</w:t>
      </w:r>
      <w:r>
        <w:rPr>
          <w:rFonts w:hint="eastAsia" w:ascii="宋体" w:hAnsi="宋体" w:eastAsia="宋体"/>
          <w:color w:val="000000"/>
          <w:sz w:val="24"/>
          <w:szCs w:val="24"/>
        </w:rPr>
        <w:t>方式。在“山东省公共资源交易中心网站-交易大厅-权益类交易平台-资产处置系统（网址</w:t>
      </w:r>
      <w:r>
        <w:rPr>
          <w:rFonts w:ascii="宋体" w:hAnsi="宋体" w:eastAsia="宋体"/>
          <w:color w:val="000000"/>
          <w:sz w:val="24"/>
          <w:szCs w:val="24"/>
        </w:rPr>
        <w:t>http://ggzyjyzx.shandong.gov.cn</w:t>
      </w:r>
      <w:r>
        <w:rPr>
          <w:rFonts w:hint="eastAsia" w:ascii="宋体" w:hAnsi="宋体" w:eastAsia="宋体"/>
          <w:color w:val="000000"/>
          <w:sz w:val="24"/>
          <w:szCs w:val="24"/>
        </w:rPr>
        <w:t>）”。竞买人应于竞价前注册完毕网络竞价账号，随机获得竞价号牌。</w:t>
      </w:r>
    </w:p>
    <w:p>
      <w:pPr>
        <w:widowControl/>
        <w:spacing w:line="480" w:lineRule="auto"/>
        <w:ind w:firstLine="640" w:firstLineChars="250"/>
        <w:jc w:val="left"/>
        <w:rPr>
          <w:rFonts w:ascii="宋体" w:hAnsi="宋体" w:eastAsia="宋体" w:cs="Times New Roman"/>
          <w:spacing w:val="8"/>
          <w:sz w:val="24"/>
          <w:szCs w:val="24"/>
        </w:rPr>
      </w:pPr>
      <w:r>
        <w:rPr>
          <w:rFonts w:hint="eastAsia" w:ascii="宋体" w:hAnsi="宋体" w:eastAsia="宋体" w:cs="Times New Roman"/>
          <w:spacing w:val="8"/>
          <w:sz w:val="24"/>
          <w:szCs w:val="24"/>
        </w:rPr>
        <w:t>（1）竞买人应自行注册网络拍卖账号；由工作人员代为注册的，竞买人应及时修改密码，注意账号保管；竞买人不修改密码或修改后被他人窃取，导致他人冒名登录参与竞价，出现的一切后果及责任均由已登记的竞买人承担。</w:t>
      </w:r>
    </w:p>
    <w:p>
      <w:pPr>
        <w:widowControl/>
        <w:spacing w:line="480" w:lineRule="auto"/>
        <w:ind w:firstLine="640" w:firstLineChars="250"/>
        <w:jc w:val="left"/>
        <w:rPr>
          <w:rFonts w:ascii="宋体" w:hAnsi="宋体" w:eastAsia="宋体" w:cs="Times New Roman"/>
          <w:spacing w:val="8"/>
          <w:sz w:val="24"/>
          <w:szCs w:val="24"/>
        </w:rPr>
      </w:pPr>
      <w:r>
        <w:rPr>
          <w:rFonts w:hint="eastAsia" w:ascii="宋体" w:hAnsi="宋体" w:eastAsia="宋体" w:cs="Times New Roman"/>
          <w:spacing w:val="8"/>
          <w:sz w:val="24"/>
          <w:szCs w:val="24"/>
        </w:rPr>
        <w:t>（2）网络竞价过程中，如遇不可抗力，包括但不限于网络不通畅、资产拍卖竞价系统出现故障、黑客攻击等事由，出现信息中断、竞价时间不完整、图文变异、系统瘫痪、竞买人无法在网上出价等情形，导致拍卖会无法正常进行，甲方有权延迟、暂停或另行举行拍卖会。若拍卖记录可以恢复的，重新启动竞价后，起始价为网络中断时的最高有效报价；若竞价记录无法恢复的，底价为标的起始价。如竞买人自身操作问题导致无法参加竞价的，由竞买人自行负责。通过资产拍卖竞价系统进行网络竞价的竞买人，承诺已经对可能发生的故障有充分准备，并放弃因此类故障要求出让人和代理机构承担任何赔偿责任。</w:t>
      </w:r>
    </w:p>
    <w:p>
      <w:pPr>
        <w:widowControl/>
        <w:spacing w:line="480" w:lineRule="auto"/>
        <w:ind w:firstLine="512"/>
        <w:jc w:val="left"/>
        <w:rPr>
          <w:rFonts w:ascii="宋体" w:hAnsi="宋体" w:eastAsia="宋体"/>
          <w:color w:val="000000"/>
          <w:kern w:val="0"/>
          <w:sz w:val="24"/>
          <w:szCs w:val="24"/>
        </w:rPr>
      </w:pPr>
      <w:r>
        <w:rPr>
          <w:rFonts w:hint="eastAsia" w:ascii="宋体" w:hAnsi="宋体" w:eastAsia="宋体" w:cs="Times New Roman"/>
          <w:spacing w:val="8"/>
          <w:sz w:val="24"/>
          <w:szCs w:val="24"/>
        </w:rPr>
        <w:t>（3）竞买人应对自己的账号和密码进行保密，在本系统上以竞买人的帐号和密码登录后进行的操作，均被视为竞买人的行为，竞买人应当对以其帐号进行的所有活动和事件负法律责任。竞买人报价金额的币种仅限为人民币，报价前须仔细核对报价金额及单位，确认无误后方可出价。竞买人报价一经确认，资产拍卖竞价系统均有记录，不得撤回或撤销。竞买人不得扰乱竞价秩序，更不得恶意串通，影响或操纵其他竞买人竞价，如有发现将取消其竞买资格，没收竞买保证金，并追究其相应的法律责任。</w:t>
      </w:r>
    </w:p>
    <w:p>
      <w:pPr>
        <w:widowControl/>
        <w:spacing w:line="480" w:lineRule="auto"/>
        <w:ind w:firstLine="480"/>
        <w:jc w:val="left"/>
        <w:rPr>
          <w:rFonts w:ascii="宋体" w:hAnsi="宋体" w:eastAsia="宋体" w:cs="Times New Roman"/>
          <w:spacing w:val="8"/>
          <w:sz w:val="24"/>
          <w:szCs w:val="24"/>
        </w:rPr>
      </w:pPr>
      <w:r>
        <w:rPr>
          <w:rFonts w:hint="eastAsia" w:ascii="宋体" w:hAnsi="宋体" w:eastAsia="宋体"/>
          <w:color w:val="000000"/>
          <w:kern w:val="0"/>
          <w:sz w:val="24"/>
          <w:szCs w:val="24"/>
        </w:rPr>
        <w:t>四、乙方同意缴纳甲方规定数额的保证金</w:t>
      </w:r>
      <w:r>
        <w:rPr>
          <w:rFonts w:hint="eastAsia" w:ascii="宋体" w:hAnsi="宋体" w:eastAsia="宋体" w:cs="Times New Roman"/>
          <w:spacing w:val="8"/>
          <w:sz w:val="24"/>
          <w:szCs w:val="24"/>
        </w:rPr>
        <w:t>，如竞价不成功，甲方应于拍卖会结束后五个工作日内将保证金全额无息退还乙方。如竞买成功，买受人所缴纳的竞买保证金扣除拍卖佣金后冲抵履约保证金。</w:t>
      </w:r>
    </w:p>
    <w:p>
      <w:pPr>
        <w:widowControl/>
        <w:spacing w:line="480" w:lineRule="auto"/>
        <w:ind w:firstLine="512"/>
        <w:jc w:val="left"/>
        <w:rPr>
          <w:rFonts w:ascii="宋体" w:hAnsi="宋体" w:eastAsia="宋体" w:cs="Times New Roman"/>
          <w:spacing w:val="8"/>
          <w:sz w:val="24"/>
          <w:szCs w:val="24"/>
        </w:rPr>
      </w:pPr>
      <w:r>
        <w:rPr>
          <w:rFonts w:hint="eastAsia" w:ascii="宋体" w:hAnsi="宋体" w:eastAsia="宋体" w:cs="Times New Roman"/>
          <w:spacing w:val="8"/>
          <w:sz w:val="24"/>
          <w:szCs w:val="24"/>
        </w:rPr>
        <w:t>五、甲方已提请乙方详细阅读《拍卖文件》等资料，对以上文件理解有误而导致的损失，由乙方自行承担。</w:t>
      </w:r>
    </w:p>
    <w:p>
      <w:pPr>
        <w:widowControl/>
        <w:spacing w:line="480" w:lineRule="auto"/>
        <w:ind w:firstLine="512"/>
        <w:jc w:val="left"/>
        <w:rPr>
          <w:rFonts w:ascii="宋体" w:hAnsi="宋体" w:eastAsia="宋体" w:cs="Times New Roman"/>
          <w:spacing w:val="8"/>
          <w:sz w:val="24"/>
          <w:szCs w:val="24"/>
        </w:rPr>
      </w:pPr>
      <w:r>
        <w:rPr>
          <w:rFonts w:hint="eastAsia" w:ascii="宋体" w:hAnsi="宋体" w:eastAsia="宋体" w:cs="Times New Roman"/>
          <w:spacing w:val="8"/>
          <w:sz w:val="24"/>
          <w:szCs w:val="24"/>
        </w:rPr>
        <w:t>六、竞价前出让人如按法律、法规的有关规定撤回委托，乙方应服从。</w:t>
      </w:r>
    </w:p>
    <w:p>
      <w:pPr>
        <w:widowControl/>
        <w:spacing w:line="480" w:lineRule="auto"/>
        <w:ind w:firstLine="512"/>
        <w:jc w:val="left"/>
        <w:rPr>
          <w:rFonts w:ascii="宋体" w:hAnsi="宋体" w:eastAsia="宋体" w:cs="Times New Roman"/>
          <w:spacing w:val="8"/>
          <w:sz w:val="24"/>
          <w:szCs w:val="24"/>
        </w:rPr>
      </w:pPr>
      <w:r>
        <w:rPr>
          <w:rFonts w:hint="eastAsia" w:ascii="宋体" w:hAnsi="宋体" w:eastAsia="宋体" w:cs="Times New Roman"/>
          <w:spacing w:val="8"/>
          <w:sz w:val="24"/>
          <w:szCs w:val="24"/>
        </w:rPr>
        <w:t>七、竞买人参拍具备完全民事能力，法律行政法规和司法解释对买受人资格或者条件有特殊规定的，竞买人应当具备规定的资格或者条件。</w:t>
      </w:r>
    </w:p>
    <w:p>
      <w:pPr>
        <w:widowControl/>
        <w:spacing w:line="480" w:lineRule="auto"/>
        <w:ind w:firstLine="512"/>
        <w:jc w:val="left"/>
        <w:rPr>
          <w:rFonts w:ascii="宋体" w:hAnsi="宋体" w:eastAsia="宋体" w:cs="Times New Roman"/>
          <w:spacing w:val="8"/>
          <w:sz w:val="24"/>
          <w:szCs w:val="24"/>
        </w:rPr>
      </w:pPr>
      <w:r>
        <w:rPr>
          <w:rFonts w:hint="eastAsia" w:ascii="宋体" w:hAnsi="宋体" w:eastAsia="宋体" w:cs="Times New Roman"/>
          <w:spacing w:val="8"/>
          <w:sz w:val="24"/>
          <w:szCs w:val="24"/>
        </w:rPr>
        <w:t>八、若乙方竞买成功，须承诺事项：</w:t>
      </w:r>
    </w:p>
    <w:p>
      <w:pPr>
        <w:widowControl/>
        <w:spacing w:line="480" w:lineRule="auto"/>
        <w:ind w:firstLine="512"/>
        <w:jc w:val="left"/>
        <w:rPr>
          <w:rFonts w:ascii="宋体" w:hAnsi="宋体" w:eastAsia="宋体" w:cs="Times New Roman"/>
          <w:spacing w:val="8"/>
          <w:sz w:val="24"/>
          <w:szCs w:val="24"/>
        </w:rPr>
      </w:pPr>
      <w:r>
        <w:rPr>
          <w:rFonts w:hint="eastAsia" w:ascii="宋体" w:hAnsi="宋体" w:eastAsia="宋体" w:cs="Times New Roman"/>
          <w:spacing w:val="8"/>
          <w:sz w:val="24"/>
          <w:szCs w:val="24"/>
        </w:rPr>
        <w:t>1、竞买成功后，买受人须于3日内与甲方签订《成交确认书》等相关手续，并在拍卖成交3日内支付拍卖成交价款及拍卖佣金，按合同约定履行付款及交接义务，买受人违约的，甲方有权取消其买受人资格，并有权不予退还其保证金。</w:t>
      </w:r>
    </w:p>
    <w:p>
      <w:pPr>
        <w:widowControl/>
        <w:spacing w:line="480" w:lineRule="auto"/>
        <w:ind w:firstLine="512"/>
        <w:jc w:val="left"/>
        <w:rPr>
          <w:rFonts w:ascii="宋体" w:hAnsi="宋体" w:eastAsia="宋体" w:cs="Times New Roman"/>
          <w:color w:val="0000FF"/>
          <w:spacing w:val="8"/>
          <w:sz w:val="24"/>
          <w:szCs w:val="24"/>
        </w:rPr>
      </w:pPr>
      <w:r>
        <w:rPr>
          <w:rFonts w:hint="eastAsia" w:ascii="宋体" w:hAnsi="宋体" w:eastAsia="宋体" w:cs="Times New Roman"/>
          <w:spacing w:val="8"/>
          <w:sz w:val="24"/>
          <w:szCs w:val="24"/>
        </w:rPr>
        <w:t>2、标的交付方式：委托人负责向买受人交付拍卖标的，由买受人自行办理所有相关事项</w:t>
      </w:r>
      <w:r>
        <w:rPr>
          <w:rFonts w:hint="eastAsia" w:ascii="宋体" w:hAnsi="宋体" w:eastAsia="宋体" w:cs="Times New Roman"/>
          <w:color w:val="0000FF"/>
          <w:spacing w:val="8"/>
          <w:sz w:val="24"/>
          <w:szCs w:val="24"/>
        </w:rPr>
        <w:t>。</w:t>
      </w:r>
    </w:p>
    <w:p>
      <w:pPr>
        <w:widowControl/>
        <w:spacing w:line="480" w:lineRule="auto"/>
        <w:ind w:firstLine="512"/>
        <w:jc w:val="left"/>
        <w:rPr>
          <w:rFonts w:ascii="宋体" w:hAnsi="宋体" w:eastAsia="宋体" w:cs="Times New Roman"/>
          <w:spacing w:val="8"/>
          <w:sz w:val="24"/>
          <w:szCs w:val="24"/>
        </w:rPr>
      </w:pPr>
      <w:r>
        <w:rPr>
          <w:rFonts w:hint="eastAsia" w:ascii="宋体" w:hAnsi="宋体" w:eastAsia="宋体" w:cs="Times New Roman"/>
          <w:spacing w:val="8"/>
          <w:sz w:val="24"/>
          <w:szCs w:val="24"/>
        </w:rPr>
        <w:t>3、买受人须在拍卖成交5日内将拍卖标的全部运离现场，否则委托人对拍卖标的不再负有保管责任，之后的一切保管责任、风险及费用均有买受人承担。</w:t>
      </w:r>
    </w:p>
    <w:p>
      <w:pPr>
        <w:widowControl/>
        <w:spacing w:line="480" w:lineRule="auto"/>
        <w:ind w:firstLine="512"/>
        <w:jc w:val="left"/>
        <w:rPr>
          <w:rFonts w:ascii="宋体" w:hAnsi="宋体" w:eastAsia="宋体" w:cs="Times New Roman"/>
          <w:spacing w:val="8"/>
          <w:sz w:val="24"/>
          <w:szCs w:val="24"/>
        </w:rPr>
      </w:pPr>
      <w:r>
        <w:rPr>
          <w:rFonts w:hint="eastAsia" w:ascii="宋体" w:hAnsi="宋体" w:eastAsia="宋体" w:cs="Times New Roman"/>
          <w:spacing w:val="8"/>
          <w:sz w:val="24"/>
          <w:szCs w:val="24"/>
        </w:rPr>
        <w:t>4、拍卖标的的数量委托人及拍卖人不做承诺，本文件提供的数量仅供参考，由于存放时间的问题涉及水分流失、风吹等自然损坏可能与公示参考数量有出入，本项目拍卖标的按宗拍卖，竞买人有责任于拍卖标的展示期间自行核实，并根据自己的判断理性出价。</w:t>
      </w:r>
    </w:p>
    <w:p>
      <w:pPr>
        <w:widowControl/>
        <w:spacing w:line="480" w:lineRule="auto"/>
        <w:ind w:firstLine="512"/>
        <w:jc w:val="left"/>
        <w:rPr>
          <w:rFonts w:ascii="宋体" w:hAnsi="宋体" w:eastAsia="宋体" w:cs="Times New Roman"/>
          <w:spacing w:val="8"/>
          <w:sz w:val="24"/>
          <w:szCs w:val="24"/>
        </w:rPr>
      </w:pPr>
      <w:r>
        <w:rPr>
          <w:rFonts w:hint="eastAsia" w:ascii="宋体" w:hAnsi="宋体" w:eastAsia="宋体" w:cs="Times New Roman"/>
          <w:spacing w:val="8"/>
          <w:sz w:val="24"/>
          <w:szCs w:val="24"/>
        </w:rPr>
        <w:t>5、标的移交时买受人必须安全生产配合委托方管理，如过磅留存数据等，拍卖标的移交过程中产生的一切费用、风险及责任均有买受人承担。</w:t>
      </w:r>
    </w:p>
    <w:p>
      <w:pPr>
        <w:spacing w:line="480" w:lineRule="auto"/>
        <w:ind w:firstLine="448" w:firstLineChars="187"/>
        <w:rPr>
          <w:rFonts w:ascii="宋体" w:hAnsi="宋体" w:eastAsia="宋体"/>
          <w:color w:val="000000"/>
          <w:kern w:val="0"/>
          <w:sz w:val="24"/>
          <w:szCs w:val="24"/>
        </w:rPr>
      </w:pPr>
      <w:r>
        <w:rPr>
          <w:rFonts w:hint="eastAsia" w:ascii="宋体" w:hAnsi="宋体" w:eastAsia="宋体"/>
          <w:color w:val="000000"/>
          <w:kern w:val="0"/>
          <w:sz w:val="24"/>
          <w:szCs w:val="24"/>
        </w:rPr>
        <w:t>九、在履行过程中若发生争议，由双方协商解决；协商不成的，到济南仲裁委员会仲裁。</w:t>
      </w:r>
    </w:p>
    <w:p>
      <w:pPr>
        <w:spacing w:line="480" w:lineRule="auto"/>
        <w:ind w:firstLine="448" w:firstLineChars="187"/>
        <w:rPr>
          <w:rFonts w:ascii="宋体" w:hAnsi="宋体" w:eastAsia="宋体"/>
          <w:color w:val="000000"/>
          <w:kern w:val="0"/>
          <w:sz w:val="24"/>
          <w:szCs w:val="24"/>
        </w:rPr>
      </w:pPr>
      <w:r>
        <w:rPr>
          <w:rFonts w:hint="eastAsia" w:ascii="宋体" w:hAnsi="宋体" w:eastAsia="宋体"/>
          <w:color w:val="000000"/>
          <w:kern w:val="0"/>
          <w:sz w:val="24"/>
          <w:szCs w:val="24"/>
        </w:rPr>
        <w:t>十、本协议经双方签章后生效，一式二份，当事人双方各执一份。</w:t>
      </w:r>
    </w:p>
    <w:p>
      <w:pPr>
        <w:spacing w:line="480" w:lineRule="auto"/>
        <w:ind w:firstLine="448" w:firstLineChars="187"/>
        <w:rPr>
          <w:rFonts w:ascii="宋体" w:hAnsi="宋体" w:eastAsia="宋体"/>
          <w:color w:val="000000"/>
          <w:kern w:val="0"/>
          <w:sz w:val="24"/>
          <w:szCs w:val="24"/>
        </w:rPr>
      </w:pPr>
    </w:p>
    <w:p>
      <w:pPr>
        <w:spacing w:line="480" w:lineRule="auto"/>
        <w:ind w:firstLine="679" w:firstLineChars="283"/>
        <w:rPr>
          <w:rFonts w:ascii="宋体" w:hAnsi="宋体" w:eastAsia="宋体"/>
          <w:color w:val="000000"/>
          <w:kern w:val="0"/>
          <w:sz w:val="24"/>
          <w:szCs w:val="24"/>
          <w:u w:val="single"/>
        </w:rPr>
      </w:pPr>
      <w:r>
        <w:rPr>
          <w:rFonts w:hint="eastAsia" w:ascii="宋体" w:hAnsi="宋体" w:eastAsia="宋体"/>
          <w:color w:val="000000"/>
          <w:kern w:val="0"/>
          <w:sz w:val="24"/>
          <w:szCs w:val="24"/>
        </w:rPr>
        <w:t>甲方（签章）：                      乙方（签名、盖章）：</w:t>
      </w:r>
    </w:p>
    <w:p>
      <w:pPr>
        <w:spacing w:line="480" w:lineRule="auto"/>
        <w:ind w:firstLine="679" w:firstLineChars="283"/>
        <w:rPr>
          <w:rFonts w:ascii="宋体" w:hAnsi="宋体" w:eastAsia="宋体"/>
          <w:color w:val="000000"/>
          <w:kern w:val="0"/>
          <w:sz w:val="24"/>
          <w:szCs w:val="24"/>
          <w:u w:val="single"/>
        </w:rPr>
      </w:pPr>
      <w:r>
        <w:rPr>
          <w:rFonts w:hint="eastAsia" w:ascii="宋体" w:hAnsi="宋体" w:eastAsia="宋体"/>
          <w:color w:val="000000"/>
          <w:kern w:val="0"/>
          <w:sz w:val="24"/>
          <w:szCs w:val="24"/>
        </w:rPr>
        <w:t>联系电话：                          联系电话：</w:t>
      </w:r>
    </w:p>
    <w:p>
      <w:pPr>
        <w:spacing w:line="480" w:lineRule="auto"/>
        <w:ind w:firstLine="960" w:firstLineChars="400"/>
        <w:rPr>
          <w:rFonts w:ascii="宋体" w:hAnsi="宋体" w:eastAsia="宋体"/>
          <w:color w:val="000000"/>
          <w:kern w:val="0"/>
          <w:sz w:val="24"/>
          <w:szCs w:val="24"/>
        </w:rPr>
      </w:pPr>
      <w:r>
        <w:rPr>
          <w:rFonts w:hint="eastAsia" w:ascii="宋体" w:hAnsi="宋体" w:eastAsia="宋体"/>
          <w:color w:val="000000"/>
          <w:kern w:val="0"/>
          <w:sz w:val="24"/>
          <w:szCs w:val="24"/>
        </w:rPr>
        <w:t>年  月  日                             年  月   日</w:t>
      </w:r>
      <w:r>
        <w:rPr>
          <w:rFonts w:ascii="宋体" w:hAnsi="宋体" w:eastAsia="宋体"/>
          <w:color w:val="000000"/>
          <w:kern w:val="0"/>
          <w:sz w:val="24"/>
          <w:szCs w:val="24"/>
        </w:rPr>
        <w:br w:type="page"/>
      </w:r>
    </w:p>
    <w:p>
      <w:pPr>
        <w:keepNext/>
        <w:keepLines/>
        <w:spacing w:before="340" w:after="330" w:line="576" w:lineRule="auto"/>
        <w:ind w:firstLine="0" w:firstLineChars="0"/>
        <w:jc w:val="center"/>
        <w:outlineLvl w:val="0"/>
        <w:rPr>
          <w:rFonts w:ascii="Times New Roman" w:hAnsi="Times New Roman" w:eastAsia="宋体" w:cs="Times New Roman"/>
          <w:b/>
          <w:kern w:val="44"/>
          <w:szCs w:val="24"/>
        </w:rPr>
      </w:pPr>
      <w:bookmarkStart w:id="23" w:name="_Toc167291581"/>
      <w:r>
        <w:rPr>
          <w:rFonts w:hint="eastAsia" w:ascii="Times New Roman" w:hAnsi="Times New Roman" w:eastAsia="宋体" w:cs="Times New Roman"/>
          <w:b/>
          <w:kern w:val="44"/>
          <w:szCs w:val="24"/>
        </w:rPr>
        <w:t>第六部分附件</w:t>
      </w:r>
      <w:bookmarkEnd w:id="23"/>
    </w:p>
    <w:p>
      <w:pPr>
        <w:keepNext/>
        <w:keepLines/>
        <w:widowControl/>
        <w:spacing w:before="260" w:after="28" w:line="460" w:lineRule="exact"/>
        <w:ind w:firstLine="0" w:firstLineChars="0"/>
        <w:jc w:val="center"/>
        <w:outlineLvl w:val="1"/>
        <w:rPr>
          <w:rFonts w:ascii="Arial" w:hAnsi="Arial" w:eastAsia="新宋体" w:cs="Times New Roman"/>
          <w:bCs/>
          <w:sz w:val="30"/>
          <w:szCs w:val="24"/>
        </w:rPr>
      </w:pPr>
      <w:bookmarkStart w:id="24" w:name="_Toc167291582"/>
      <w:r>
        <w:rPr>
          <w:rFonts w:hint="eastAsia" w:ascii="Arial" w:hAnsi="Arial" w:eastAsia="新宋体" w:cs="Times New Roman"/>
          <w:bCs/>
          <w:sz w:val="30"/>
          <w:szCs w:val="24"/>
        </w:rPr>
        <w:t>授权委托书</w:t>
      </w:r>
      <w:bookmarkEnd w:id="24"/>
    </w:p>
    <w:tbl>
      <w:tblPr>
        <w:tblStyle w:val="19"/>
        <w:tblpPr w:leftFromText="180" w:rightFromText="180" w:vertAnchor="text" w:horzAnchor="page" w:tblpX="1436" w:tblpY="234"/>
        <w:tblOverlap w:val="never"/>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26"/>
        <w:gridCol w:w="2651"/>
        <w:gridCol w:w="1482"/>
        <w:gridCol w:w="3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2" w:hRule="atLeast"/>
        </w:trPr>
        <w:tc>
          <w:tcPr>
            <w:tcW w:w="4677" w:type="dxa"/>
            <w:gridSpan w:val="2"/>
            <w:vAlign w:val="center"/>
          </w:tcPr>
          <w:p>
            <w:pPr>
              <w:spacing w:line="240" w:lineRule="auto"/>
              <w:ind w:firstLine="0" w:firstLineChars="0"/>
              <w:jc w:val="center"/>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委托人</w:t>
            </w:r>
          </w:p>
        </w:tc>
        <w:tc>
          <w:tcPr>
            <w:tcW w:w="4679" w:type="dxa"/>
            <w:gridSpan w:val="2"/>
            <w:vAlign w:val="center"/>
          </w:tcPr>
          <w:p>
            <w:pPr>
              <w:spacing w:line="240" w:lineRule="auto"/>
              <w:ind w:firstLine="0" w:firstLineChars="0"/>
              <w:jc w:val="center"/>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授权代理人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2026" w:type="dxa"/>
            <w:vAlign w:val="center"/>
          </w:tcPr>
          <w:p>
            <w:pPr>
              <w:spacing w:line="240" w:lineRule="auto"/>
              <w:ind w:firstLine="0" w:firstLineChars="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公司名称</w:t>
            </w:r>
          </w:p>
        </w:tc>
        <w:tc>
          <w:tcPr>
            <w:tcW w:w="2651" w:type="dxa"/>
            <w:vAlign w:val="center"/>
          </w:tcPr>
          <w:p>
            <w:pPr>
              <w:spacing w:line="240" w:lineRule="auto"/>
              <w:ind w:firstLine="0" w:firstLineChars="0"/>
              <w:jc w:val="left"/>
              <w:rPr>
                <w:rFonts w:ascii="Times New Roman" w:hAnsi="Times New Roman" w:eastAsia="宋体" w:cs="Times New Roman"/>
                <w:sz w:val="24"/>
                <w:szCs w:val="24"/>
              </w:rPr>
            </w:pPr>
          </w:p>
        </w:tc>
        <w:tc>
          <w:tcPr>
            <w:tcW w:w="1482" w:type="dxa"/>
            <w:vAlign w:val="center"/>
          </w:tcPr>
          <w:p>
            <w:pPr>
              <w:spacing w:line="240" w:lineRule="auto"/>
              <w:ind w:firstLine="0" w:firstLineChars="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姓    名</w:t>
            </w:r>
          </w:p>
        </w:tc>
        <w:tc>
          <w:tcPr>
            <w:tcW w:w="3197" w:type="dxa"/>
          </w:tcPr>
          <w:p>
            <w:pPr>
              <w:spacing w:line="240" w:lineRule="auto"/>
              <w:ind w:firstLine="0" w:firstLineChars="0"/>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2" w:hRule="atLeast"/>
        </w:trPr>
        <w:tc>
          <w:tcPr>
            <w:tcW w:w="2026" w:type="dxa"/>
            <w:tcBorders>
              <w:right w:val="single" w:color="auto" w:sz="4" w:space="0"/>
            </w:tcBorders>
            <w:vAlign w:val="center"/>
          </w:tcPr>
          <w:p>
            <w:pPr>
              <w:spacing w:line="240" w:lineRule="auto"/>
              <w:ind w:firstLine="0" w:firstLineChars="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营业执照号</w:t>
            </w:r>
          </w:p>
        </w:tc>
        <w:tc>
          <w:tcPr>
            <w:tcW w:w="2651" w:type="dxa"/>
            <w:tcBorders>
              <w:left w:val="single" w:color="auto" w:sz="4" w:space="0"/>
            </w:tcBorders>
            <w:vAlign w:val="center"/>
          </w:tcPr>
          <w:p>
            <w:pPr>
              <w:spacing w:line="240" w:lineRule="auto"/>
              <w:ind w:firstLine="0" w:firstLineChars="0"/>
              <w:jc w:val="left"/>
              <w:rPr>
                <w:rFonts w:ascii="Times New Roman" w:hAnsi="Times New Roman" w:eastAsia="宋体" w:cs="Times New Roman"/>
                <w:sz w:val="24"/>
                <w:szCs w:val="24"/>
              </w:rPr>
            </w:pPr>
          </w:p>
        </w:tc>
        <w:tc>
          <w:tcPr>
            <w:tcW w:w="1482" w:type="dxa"/>
            <w:vAlign w:val="center"/>
          </w:tcPr>
          <w:p>
            <w:pPr>
              <w:spacing w:line="240" w:lineRule="auto"/>
              <w:ind w:firstLine="0" w:firstLineChars="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性    别</w:t>
            </w:r>
          </w:p>
        </w:tc>
        <w:tc>
          <w:tcPr>
            <w:tcW w:w="3197" w:type="dxa"/>
          </w:tcPr>
          <w:p>
            <w:pPr>
              <w:spacing w:line="240" w:lineRule="auto"/>
              <w:ind w:firstLine="0" w:firstLineChars="0"/>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2026" w:type="dxa"/>
            <w:tcBorders>
              <w:bottom w:val="single" w:color="auto" w:sz="4" w:space="0"/>
              <w:right w:val="single" w:color="auto" w:sz="4" w:space="0"/>
            </w:tcBorders>
            <w:vAlign w:val="center"/>
          </w:tcPr>
          <w:p>
            <w:pPr>
              <w:spacing w:line="240" w:lineRule="auto"/>
              <w:ind w:firstLine="0" w:firstLineChars="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法定代表人</w:t>
            </w:r>
          </w:p>
        </w:tc>
        <w:tc>
          <w:tcPr>
            <w:tcW w:w="2651" w:type="dxa"/>
            <w:tcBorders>
              <w:left w:val="single" w:color="auto" w:sz="4" w:space="0"/>
              <w:bottom w:val="single" w:color="auto" w:sz="4" w:space="0"/>
            </w:tcBorders>
            <w:vAlign w:val="center"/>
          </w:tcPr>
          <w:p>
            <w:pPr>
              <w:spacing w:line="240" w:lineRule="auto"/>
              <w:ind w:firstLine="0" w:firstLineChars="0"/>
              <w:jc w:val="left"/>
              <w:rPr>
                <w:rFonts w:ascii="Times New Roman" w:hAnsi="Times New Roman" w:eastAsia="宋体" w:cs="Times New Roman"/>
                <w:sz w:val="24"/>
                <w:szCs w:val="24"/>
              </w:rPr>
            </w:pPr>
          </w:p>
        </w:tc>
        <w:tc>
          <w:tcPr>
            <w:tcW w:w="1482" w:type="dxa"/>
            <w:vAlign w:val="center"/>
          </w:tcPr>
          <w:p>
            <w:pPr>
              <w:spacing w:line="240" w:lineRule="auto"/>
              <w:ind w:firstLine="0" w:firstLineChars="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出生日期</w:t>
            </w:r>
          </w:p>
        </w:tc>
        <w:tc>
          <w:tcPr>
            <w:tcW w:w="3197" w:type="dxa"/>
          </w:tcPr>
          <w:p>
            <w:pPr>
              <w:spacing w:line="240" w:lineRule="auto"/>
              <w:ind w:firstLine="0" w:firstLineChars="0"/>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2" w:hRule="atLeast"/>
        </w:trPr>
        <w:tc>
          <w:tcPr>
            <w:tcW w:w="2026" w:type="dxa"/>
            <w:tcBorders>
              <w:top w:val="single" w:color="auto" w:sz="4" w:space="0"/>
              <w:bottom w:val="single" w:color="auto" w:sz="4" w:space="0"/>
              <w:right w:val="single" w:color="auto" w:sz="4" w:space="0"/>
            </w:tcBorders>
            <w:vAlign w:val="center"/>
          </w:tcPr>
          <w:p>
            <w:pPr>
              <w:spacing w:line="240" w:lineRule="auto"/>
              <w:ind w:firstLine="0" w:firstLineChars="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联系电话</w:t>
            </w:r>
          </w:p>
        </w:tc>
        <w:tc>
          <w:tcPr>
            <w:tcW w:w="2651" w:type="dxa"/>
            <w:tcBorders>
              <w:top w:val="single" w:color="auto" w:sz="4" w:space="0"/>
              <w:left w:val="single" w:color="auto" w:sz="4" w:space="0"/>
              <w:bottom w:val="single" w:color="auto" w:sz="4" w:space="0"/>
            </w:tcBorders>
            <w:vAlign w:val="center"/>
          </w:tcPr>
          <w:p>
            <w:pPr>
              <w:spacing w:line="240" w:lineRule="auto"/>
              <w:ind w:firstLine="0" w:firstLineChars="0"/>
              <w:jc w:val="left"/>
              <w:rPr>
                <w:rFonts w:ascii="Times New Roman" w:hAnsi="Times New Roman" w:eastAsia="宋体" w:cs="Times New Roman"/>
                <w:sz w:val="24"/>
                <w:szCs w:val="24"/>
              </w:rPr>
            </w:pPr>
          </w:p>
        </w:tc>
        <w:tc>
          <w:tcPr>
            <w:tcW w:w="1482" w:type="dxa"/>
            <w:vAlign w:val="center"/>
          </w:tcPr>
          <w:p>
            <w:pPr>
              <w:spacing w:line="240" w:lineRule="auto"/>
              <w:ind w:firstLine="0" w:firstLineChars="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职    务</w:t>
            </w:r>
          </w:p>
        </w:tc>
        <w:tc>
          <w:tcPr>
            <w:tcW w:w="3197" w:type="dxa"/>
          </w:tcPr>
          <w:p>
            <w:pPr>
              <w:spacing w:line="240" w:lineRule="auto"/>
              <w:ind w:firstLine="0" w:firstLineChars="0"/>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2026" w:type="dxa"/>
            <w:tcBorders>
              <w:top w:val="single" w:color="auto" w:sz="4" w:space="0"/>
              <w:bottom w:val="single" w:color="auto" w:sz="4" w:space="0"/>
              <w:right w:val="single" w:color="auto" w:sz="4" w:space="0"/>
            </w:tcBorders>
            <w:vAlign w:val="center"/>
          </w:tcPr>
          <w:p>
            <w:pPr>
              <w:spacing w:line="240" w:lineRule="auto"/>
              <w:ind w:firstLine="0" w:firstLineChars="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公司地址</w:t>
            </w:r>
          </w:p>
        </w:tc>
        <w:tc>
          <w:tcPr>
            <w:tcW w:w="2651" w:type="dxa"/>
            <w:tcBorders>
              <w:top w:val="single" w:color="auto" w:sz="4" w:space="0"/>
              <w:left w:val="single" w:color="auto" w:sz="4" w:space="0"/>
              <w:bottom w:val="single" w:color="auto" w:sz="4" w:space="0"/>
            </w:tcBorders>
            <w:vAlign w:val="center"/>
          </w:tcPr>
          <w:p>
            <w:pPr>
              <w:spacing w:line="240" w:lineRule="auto"/>
              <w:ind w:firstLine="0" w:firstLineChars="0"/>
              <w:jc w:val="left"/>
              <w:rPr>
                <w:rFonts w:ascii="Times New Roman" w:hAnsi="Times New Roman" w:eastAsia="宋体" w:cs="Times New Roman"/>
                <w:sz w:val="24"/>
                <w:szCs w:val="24"/>
              </w:rPr>
            </w:pPr>
          </w:p>
        </w:tc>
        <w:tc>
          <w:tcPr>
            <w:tcW w:w="1482" w:type="dxa"/>
            <w:tcBorders>
              <w:bottom w:val="single" w:color="auto" w:sz="4" w:space="0"/>
            </w:tcBorders>
            <w:vAlign w:val="center"/>
          </w:tcPr>
          <w:p>
            <w:pPr>
              <w:spacing w:line="240" w:lineRule="auto"/>
              <w:ind w:firstLine="0" w:firstLineChars="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证件号码</w:t>
            </w:r>
          </w:p>
        </w:tc>
        <w:tc>
          <w:tcPr>
            <w:tcW w:w="3197" w:type="dxa"/>
          </w:tcPr>
          <w:p>
            <w:pPr>
              <w:spacing w:line="240" w:lineRule="auto"/>
              <w:ind w:firstLine="0"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身份证（ </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w:t>
            </w:r>
          </w:p>
          <w:p>
            <w:pPr>
              <w:spacing w:line="240" w:lineRule="auto"/>
              <w:ind w:firstLine="0" w:firstLineChars="0"/>
              <w:rPr>
                <w:rFonts w:ascii="Times New Roman" w:hAnsi="Times New Roman" w:eastAsia="宋体" w:cs="Times New Roman"/>
                <w:sz w:val="24"/>
                <w:szCs w:val="24"/>
              </w:rPr>
            </w:pPr>
          </w:p>
          <w:p>
            <w:pPr>
              <w:spacing w:line="240" w:lineRule="auto"/>
              <w:ind w:firstLine="0"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护  照（ </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2" w:hRule="atLeast"/>
        </w:trPr>
        <w:tc>
          <w:tcPr>
            <w:tcW w:w="9356" w:type="dxa"/>
            <w:gridSpan w:val="4"/>
          </w:tcPr>
          <w:p>
            <w:pPr>
              <w:spacing w:line="500" w:lineRule="exact"/>
              <w:ind w:firstLine="0" w:firstLineChars="0"/>
              <w:rPr>
                <w:rFonts w:ascii="Times New Roman" w:hAnsi="Times New Roman" w:eastAsia="宋体" w:cs="Times New Roman"/>
                <w:sz w:val="24"/>
                <w:szCs w:val="24"/>
              </w:rPr>
            </w:pPr>
          </w:p>
          <w:p>
            <w:pPr>
              <w:spacing w:line="500" w:lineRule="exact"/>
              <w:ind w:firstLine="0"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兹授权       （授权代理人</w:t>
            </w:r>
            <w:r>
              <w:rPr>
                <w:rFonts w:ascii="Times New Roman" w:hAnsi="Times New Roman" w:eastAsia="宋体" w:cs="Times New Roman"/>
                <w:sz w:val="24"/>
                <w:szCs w:val="24"/>
              </w:rPr>
              <w:t>姓名</w:t>
            </w:r>
            <w:r>
              <w:rPr>
                <w:rFonts w:hint="eastAsia" w:ascii="Times New Roman" w:hAnsi="Times New Roman" w:eastAsia="宋体" w:cs="Times New Roman"/>
                <w:sz w:val="24"/>
                <w:szCs w:val="24"/>
              </w:rPr>
              <w:t>）代表委托人参加   年   月  日 （委托人名称、项目名称）公开拍卖活动 ，代表委托人：①签订《承诺书》、《竞买协议》等具有法律意义的文件、凭证；②其他事项：参与网络竞价、领取《成交通知书》。</w:t>
            </w:r>
          </w:p>
          <w:p>
            <w:pPr>
              <w:spacing w:line="500" w:lineRule="exact"/>
              <w:ind w:firstLine="480"/>
              <w:rPr>
                <w:rFonts w:ascii="Times New Roman" w:hAnsi="Times New Roman" w:eastAsia="宋体" w:cs="Times New Roman"/>
                <w:sz w:val="24"/>
                <w:szCs w:val="24"/>
              </w:rPr>
            </w:pPr>
            <w:r>
              <w:rPr>
                <w:rFonts w:hint="eastAsia" w:ascii="Times New Roman" w:hAnsi="Times New Roman" w:eastAsia="宋体" w:cs="Times New Roman"/>
                <w:sz w:val="24"/>
                <w:szCs w:val="24"/>
              </w:rPr>
              <w:t>授权代理人在参与拍卖活动中做出的承诺、签署的合同或文件，及其他委托事项的办理，本公司均予以承认，并承担由此产生的法律后果。</w:t>
            </w:r>
          </w:p>
          <w:p>
            <w:pPr>
              <w:spacing w:line="500" w:lineRule="exact"/>
              <w:ind w:firstLine="0" w:firstLineChars="0"/>
              <w:rPr>
                <w:rFonts w:ascii="Times New Roman" w:hAnsi="Times New Roman" w:eastAsia="宋体" w:cs="Times New Roman"/>
                <w:sz w:val="24"/>
                <w:szCs w:val="24"/>
              </w:rPr>
            </w:pPr>
          </w:p>
          <w:p>
            <w:pPr>
              <w:spacing w:line="500" w:lineRule="exact"/>
              <w:ind w:firstLine="0"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委托人（盖章）                             授权代理人（签名） ：</w:t>
            </w:r>
          </w:p>
          <w:p>
            <w:pPr>
              <w:spacing w:line="500" w:lineRule="exact"/>
              <w:ind w:firstLine="0"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年  月   日</w:t>
            </w:r>
          </w:p>
        </w:tc>
      </w:tr>
    </w:tbl>
    <w:p>
      <w:pPr>
        <w:spacing w:line="240" w:lineRule="auto"/>
        <w:ind w:firstLine="0" w:firstLineChars="0"/>
        <w:rPr>
          <w:rFonts w:ascii="Times New Roman" w:hAnsi="Times New Roman" w:eastAsia="宋体" w:cs="Times New Roman"/>
          <w:sz w:val="24"/>
          <w:szCs w:val="24"/>
          <w:lang w:val="zh-CN"/>
        </w:rPr>
      </w:pPr>
    </w:p>
    <w:p>
      <w:pPr>
        <w:widowControl/>
        <w:spacing w:line="240" w:lineRule="auto"/>
        <w:ind w:firstLine="0" w:firstLineChars="0"/>
        <w:jc w:val="left"/>
        <w:rPr>
          <w:rFonts w:ascii="Times New Roman" w:hAnsi="Times New Roman" w:eastAsia="黑体" w:cs="Times New Roman"/>
          <w:color w:val="000000"/>
          <w:sz w:val="24"/>
          <w:szCs w:val="24"/>
        </w:rPr>
      </w:pPr>
      <w:r>
        <w:rPr>
          <w:rFonts w:hAnsi="宋体" w:cs="方正楷体_GB2312"/>
          <w:kern w:val="0"/>
          <w:sz w:val="28"/>
          <w:szCs w:val="28"/>
          <w:lang w:val="zh-CN"/>
        </w:rPr>
        <w:br w:type="page"/>
      </w:r>
    </w:p>
    <w:tbl>
      <w:tblPr>
        <w:tblStyle w:val="19"/>
        <w:tblW w:w="9360" w:type="dxa"/>
        <w:tblInd w:w="-567" w:type="dxa"/>
        <w:tblLayout w:type="fixed"/>
        <w:tblCellMar>
          <w:top w:w="0" w:type="dxa"/>
          <w:left w:w="0" w:type="dxa"/>
          <w:bottom w:w="0" w:type="dxa"/>
          <w:right w:w="0" w:type="dxa"/>
        </w:tblCellMar>
      </w:tblPr>
      <w:tblGrid>
        <w:gridCol w:w="567"/>
        <w:gridCol w:w="1053"/>
        <w:gridCol w:w="2880"/>
        <w:gridCol w:w="1789"/>
        <w:gridCol w:w="2783"/>
        <w:gridCol w:w="288"/>
      </w:tblGrid>
      <w:tr>
        <w:tblPrEx>
          <w:tblCellMar>
            <w:top w:w="0" w:type="dxa"/>
            <w:left w:w="0" w:type="dxa"/>
            <w:bottom w:w="0" w:type="dxa"/>
            <w:right w:w="0" w:type="dxa"/>
          </w:tblCellMar>
        </w:tblPrEx>
        <w:trPr>
          <w:gridBefore w:val="1"/>
          <w:gridAfter w:val="1"/>
          <w:wBefore w:w="567" w:type="dxa"/>
          <w:wAfter w:w="288" w:type="dxa"/>
          <w:trHeight w:val="884" w:hRule="atLeast"/>
        </w:trPr>
        <w:tc>
          <w:tcPr>
            <w:tcW w:w="8505" w:type="dxa"/>
            <w:gridSpan w:val="4"/>
            <w:vMerge w:val="restart"/>
            <w:tcBorders>
              <w:top w:val="nil"/>
              <w:left w:val="nil"/>
              <w:bottom w:val="nil"/>
              <w:right w:val="nil"/>
            </w:tcBorders>
            <w:vAlign w:val="center"/>
          </w:tcPr>
          <w:p>
            <w:pPr>
              <w:pStyle w:val="3"/>
              <w:ind w:firstLine="0" w:firstLineChars="0"/>
              <w:jc w:val="center"/>
              <w:rPr>
                <w:rFonts w:ascii="Arial" w:hAnsi="Arial" w:eastAsia="新宋体" w:cs="Times New Roman"/>
                <w:b w:val="0"/>
                <w:bCs w:val="0"/>
                <w:sz w:val="30"/>
                <w:szCs w:val="24"/>
              </w:rPr>
            </w:pPr>
            <w:bookmarkStart w:id="25" w:name="_Toc167291583"/>
            <w:r>
              <w:rPr>
                <w:rFonts w:hint="eastAsia" w:ascii="Arial" w:hAnsi="Arial" w:eastAsia="新宋体" w:cs="Times New Roman"/>
                <w:b w:val="0"/>
                <w:bCs w:val="0"/>
                <w:sz w:val="30"/>
                <w:szCs w:val="24"/>
              </w:rPr>
              <w:t>竞买</w:t>
            </w:r>
            <w:r>
              <w:rPr>
                <w:rFonts w:ascii="Arial" w:hAnsi="Arial" w:eastAsia="新宋体" w:cs="Times New Roman"/>
                <w:b w:val="0"/>
                <w:bCs w:val="0"/>
                <w:sz w:val="30"/>
                <w:szCs w:val="24"/>
              </w:rPr>
              <w:t>保证金退付表</w:t>
            </w:r>
            <w:bookmarkEnd w:id="25"/>
          </w:p>
        </w:tc>
      </w:tr>
      <w:tr>
        <w:tblPrEx>
          <w:tblCellMar>
            <w:top w:w="0" w:type="dxa"/>
            <w:left w:w="0" w:type="dxa"/>
            <w:bottom w:w="0" w:type="dxa"/>
            <w:right w:w="0" w:type="dxa"/>
          </w:tblCellMar>
        </w:tblPrEx>
        <w:trPr>
          <w:gridBefore w:val="1"/>
          <w:gridAfter w:val="1"/>
          <w:wBefore w:w="567" w:type="dxa"/>
          <w:wAfter w:w="288" w:type="dxa"/>
          <w:trHeight w:val="870" w:hRule="atLeast"/>
        </w:trPr>
        <w:tc>
          <w:tcPr>
            <w:tcW w:w="8505" w:type="dxa"/>
            <w:gridSpan w:val="4"/>
            <w:vMerge w:val="continue"/>
            <w:tcBorders>
              <w:top w:val="nil"/>
              <w:left w:val="nil"/>
              <w:bottom w:val="nil"/>
              <w:right w:val="nil"/>
            </w:tcBorders>
            <w:vAlign w:val="center"/>
          </w:tcPr>
          <w:p>
            <w:pPr>
              <w:spacing w:line="240" w:lineRule="auto"/>
              <w:ind w:firstLine="0" w:firstLineChars="0"/>
              <w:rPr>
                <w:rFonts w:ascii="宋体" w:hAnsi="宋体" w:eastAsia="宋体" w:cs="Times New Roman"/>
                <w:color w:val="000000"/>
                <w:sz w:val="36"/>
                <w:szCs w:val="36"/>
              </w:rPr>
            </w:pPr>
          </w:p>
        </w:tc>
      </w:tr>
      <w:tr>
        <w:tblPrEx>
          <w:tblCellMar>
            <w:top w:w="0" w:type="dxa"/>
            <w:left w:w="0" w:type="dxa"/>
            <w:bottom w:w="0" w:type="dxa"/>
            <w:right w:w="0" w:type="dxa"/>
          </w:tblCellMar>
        </w:tblPrEx>
        <w:trPr>
          <w:trHeight w:val="315" w:hRule="atLeast"/>
        </w:trPr>
        <w:tc>
          <w:tcPr>
            <w:tcW w:w="9360" w:type="dxa"/>
            <w:gridSpan w:val="6"/>
            <w:tcBorders>
              <w:top w:val="nil"/>
              <w:left w:val="nil"/>
              <w:bottom w:val="single" w:color="auto" w:sz="12" w:space="0"/>
              <w:right w:val="nil"/>
            </w:tcBorders>
            <w:tcMar>
              <w:top w:w="14" w:type="dxa"/>
              <w:left w:w="14" w:type="dxa"/>
              <w:bottom w:w="0" w:type="dxa"/>
              <w:right w:w="14" w:type="dxa"/>
            </w:tcMar>
            <w:vAlign w:val="center"/>
          </w:tcPr>
          <w:p>
            <w:pPr>
              <w:spacing w:line="240" w:lineRule="auto"/>
              <w:ind w:firstLine="0" w:firstLineChars="0"/>
              <w:rPr>
                <w:rFonts w:ascii="宋体" w:hAnsi="宋体" w:eastAsia="宋体" w:cs="Times New Roman"/>
                <w:color w:val="000000"/>
                <w:sz w:val="24"/>
              </w:rPr>
            </w:pPr>
          </w:p>
          <w:p>
            <w:pPr>
              <w:spacing w:line="240" w:lineRule="auto"/>
              <w:ind w:firstLine="0" w:firstLineChars="0"/>
              <w:rPr>
                <w:rFonts w:ascii="宋体" w:hAnsi="宋体" w:eastAsia="宋体" w:cs="Times New Roman"/>
                <w:color w:val="000000"/>
                <w:sz w:val="24"/>
              </w:rPr>
            </w:pPr>
            <w:r>
              <w:rPr>
                <w:rFonts w:hint="eastAsia" w:ascii="宋体" w:hAnsi="宋体" w:eastAsia="宋体" w:cs="Times New Roman"/>
                <w:color w:val="000000"/>
                <w:sz w:val="24"/>
              </w:rPr>
              <w:t xml:space="preserve">竞买人名称（签名或盖章）：                                                   </w:t>
            </w:r>
          </w:p>
        </w:tc>
      </w:tr>
      <w:tr>
        <w:tblPrEx>
          <w:tblCellMar>
            <w:top w:w="0" w:type="dxa"/>
            <w:left w:w="0" w:type="dxa"/>
            <w:bottom w:w="0" w:type="dxa"/>
            <w:right w:w="0" w:type="dxa"/>
          </w:tblCellMar>
        </w:tblPrEx>
        <w:trPr>
          <w:trHeight w:val="799" w:hRule="atLeast"/>
        </w:trPr>
        <w:tc>
          <w:tcPr>
            <w:tcW w:w="1620" w:type="dxa"/>
            <w:gridSpan w:val="2"/>
            <w:tcBorders>
              <w:top w:val="single" w:color="auto" w:sz="12" w:space="0"/>
              <w:left w:val="single" w:color="auto" w:sz="12" w:space="0"/>
              <w:bottom w:val="single" w:color="auto" w:sz="12" w:space="0"/>
              <w:right w:val="single" w:color="auto" w:sz="12" w:space="0"/>
            </w:tcBorders>
            <w:tcMar>
              <w:top w:w="14" w:type="dxa"/>
              <w:left w:w="14" w:type="dxa"/>
              <w:bottom w:w="0" w:type="dxa"/>
              <w:right w:w="14" w:type="dxa"/>
            </w:tcMar>
            <w:vAlign w:val="center"/>
          </w:tcPr>
          <w:p>
            <w:pPr>
              <w:spacing w:line="240" w:lineRule="auto"/>
              <w:ind w:firstLine="0" w:firstLineChars="0"/>
              <w:jc w:val="center"/>
              <w:rPr>
                <w:rFonts w:ascii="宋体" w:hAnsi="宋体" w:eastAsia="宋体" w:cs="Times New Roman"/>
                <w:color w:val="000000"/>
                <w:sz w:val="24"/>
              </w:rPr>
            </w:pPr>
            <w:r>
              <w:rPr>
                <w:rFonts w:hint="eastAsia" w:ascii="宋体" w:hAnsi="宋体" w:eastAsia="宋体" w:cs="Times New Roman"/>
                <w:color w:val="000000"/>
                <w:sz w:val="24"/>
              </w:rPr>
              <w:t>开户银行</w:t>
            </w:r>
          </w:p>
        </w:tc>
        <w:tc>
          <w:tcPr>
            <w:tcW w:w="2880" w:type="dxa"/>
            <w:tcBorders>
              <w:top w:val="single" w:color="auto" w:sz="12" w:space="0"/>
              <w:left w:val="single" w:color="auto" w:sz="12" w:space="0"/>
              <w:bottom w:val="single" w:color="auto" w:sz="12" w:space="0"/>
              <w:right w:val="single" w:color="auto" w:sz="12" w:space="0"/>
            </w:tcBorders>
            <w:tcMar>
              <w:top w:w="14" w:type="dxa"/>
              <w:left w:w="14" w:type="dxa"/>
              <w:bottom w:w="0" w:type="dxa"/>
              <w:right w:w="14" w:type="dxa"/>
            </w:tcMar>
            <w:vAlign w:val="center"/>
          </w:tcPr>
          <w:p>
            <w:pPr>
              <w:spacing w:line="240" w:lineRule="auto"/>
              <w:ind w:firstLine="0" w:firstLineChars="0"/>
              <w:jc w:val="center"/>
              <w:rPr>
                <w:rFonts w:ascii="宋体" w:hAnsi="宋体" w:eastAsia="宋体" w:cs="Times New Roman"/>
                <w:color w:val="000000"/>
                <w:sz w:val="24"/>
              </w:rPr>
            </w:pPr>
          </w:p>
        </w:tc>
        <w:tc>
          <w:tcPr>
            <w:tcW w:w="1789" w:type="dxa"/>
            <w:tcBorders>
              <w:top w:val="single" w:color="auto" w:sz="12" w:space="0"/>
              <w:left w:val="single" w:color="auto" w:sz="12" w:space="0"/>
              <w:bottom w:val="single" w:color="auto" w:sz="12" w:space="0"/>
              <w:right w:val="single" w:color="auto" w:sz="12" w:space="0"/>
            </w:tcBorders>
            <w:tcMar>
              <w:top w:w="14" w:type="dxa"/>
              <w:left w:w="14" w:type="dxa"/>
              <w:bottom w:w="0" w:type="dxa"/>
              <w:right w:w="14" w:type="dxa"/>
            </w:tcMar>
            <w:vAlign w:val="center"/>
          </w:tcPr>
          <w:p>
            <w:pPr>
              <w:spacing w:line="240" w:lineRule="auto"/>
              <w:ind w:firstLine="0" w:firstLineChars="0"/>
              <w:jc w:val="center"/>
              <w:rPr>
                <w:rFonts w:ascii="宋体" w:hAnsi="宋体" w:eastAsia="宋体" w:cs="Times New Roman"/>
                <w:color w:val="000000"/>
                <w:sz w:val="24"/>
              </w:rPr>
            </w:pPr>
            <w:r>
              <w:rPr>
                <w:rFonts w:hint="eastAsia" w:ascii="宋体" w:hAnsi="宋体" w:eastAsia="宋体" w:cs="Times New Roman"/>
                <w:color w:val="000000"/>
                <w:sz w:val="24"/>
              </w:rPr>
              <w:t>开户帐号</w:t>
            </w:r>
          </w:p>
        </w:tc>
        <w:tc>
          <w:tcPr>
            <w:tcW w:w="3071" w:type="dxa"/>
            <w:gridSpan w:val="2"/>
            <w:tcBorders>
              <w:top w:val="single" w:color="auto" w:sz="12" w:space="0"/>
              <w:left w:val="single" w:color="auto" w:sz="12" w:space="0"/>
              <w:bottom w:val="single" w:color="auto" w:sz="12" w:space="0"/>
              <w:right w:val="single" w:color="auto" w:sz="12" w:space="0"/>
            </w:tcBorders>
            <w:tcMar>
              <w:top w:w="14" w:type="dxa"/>
              <w:left w:w="14" w:type="dxa"/>
              <w:bottom w:w="0" w:type="dxa"/>
              <w:right w:w="14" w:type="dxa"/>
            </w:tcMar>
            <w:vAlign w:val="center"/>
          </w:tcPr>
          <w:p>
            <w:pPr>
              <w:spacing w:line="240" w:lineRule="auto"/>
              <w:ind w:right="420" w:firstLine="0" w:firstLineChars="0"/>
              <w:jc w:val="right"/>
              <w:rPr>
                <w:rFonts w:ascii="宋体" w:hAnsi="宋体" w:eastAsia="宋体" w:cs="Times New Roman"/>
                <w:color w:val="000000"/>
                <w:sz w:val="24"/>
              </w:rPr>
            </w:pPr>
          </w:p>
        </w:tc>
      </w:tr>
      <w:tr>
        <w:tblPrEx>
          <w:tblCellMar>
            <w:top w:w="0" w:type="dxa"/>
            <w:left w:w="0" w:type="dxa"/>
            <w:bottom w:w="0" w:type="dxa"/>
            <w:right w:w="0" w:type="dxa"/>
          </w:tblCellMar>
        </w:tblPrEx>
        <w:trPr>
          <w:trHeight w:val="799" w:hRule="atLeast"/>
        </w:trPr>
        <w:tc>
          <w:tcPr>
            <w:tcW w:w="1620" w:type="dxa"/>
            <w:gridSpan w:val="2"/>
            <w:tcBorders>
              <w:top w:val="single" w:color="auto" w:sz="12" w:space="0"/>
              <w:left w:val="single" w:color="auto" w:sz="12" w:space="0"/>
              <w:bottom w:val="single" w:color="auto" w:sz="12" w:space="0"/>
              <w:right w:val="single" w:color="auto" w:sz="12" w:space="0"/>
            </w:tcBorders>
            <w:tcMar>
              <w:top w:w="14" w:type="dxa"/>
              <w:left w:w="14" w:type="dxa"/>
              <w:bottom w:w="0" w:type="dxa"/>
              <w:right w:w="14" w:type="dxa"/>
            </w:tcMar>
            <w:vAlign w:val="center"/>
          </w:tcPr>
          <w:p>
            <w:pPr>
              <w:spacing w:line="240" w:lineRule="auto"/>
              <w:ind w:firstLine="0" w:firstLineChars="0"/>
              <w:jc w:val="center"/>
              <w:rPr>
                <w:rFonts w:ascii="宋体" w:hAnsi="宋体" w:eastAsia="宋体" w:cs="Times New Roman"/>
                <w:color w:val="000000"/>
                <w:sz w:val="24"/>
              </w:rPr>
            </w:pPr>
            <w:r>
              <w:rPr>
                <w:rFonts w:hint="eastAsia" w:ascii="宋体" w:hAnsi="宋体" w:eastAsia="宋体" w:cs="Times New Roman"/>
                <w:color w:val="000000"/>
                <w:sz w:val="24"/>
              </w:rPr>
              <w:t>退付金额（元）</w:t>
            </w:r>
          </w:p>
        </w:tc>
        <w:tc>
          <w:tcPr>
            <w:tcW w:w="7740" w:type="dxa"/>
            <w:gridSpan w:val="4"/>
            <w:tcBorders>
              <w:top w:val="single" w:color="auto" w:sz="12" w:space="0"/>
              <w:left w:val="single" w:color="auto" w:sz="12" w:space="0"/>
              <w:bottom w:val="single" w:color="auto" w:sz="12" w:space="0"/>
              <w:right w:val="single" w:color="auto" w:sz="12" w:space="0"/>
            </w:tcBorders>
            <w:tcMar>
              <w:top w:w="14" w:type="dxa"/>
              <w:left w:w="14" w:type="dxa"/>
              <w:bottom w:w="0" w:type="dxa"/>
              <w:right w:w="14" w:type="dxa"/>
            </w:tcMar>
            <w:vAlign w:val="center"/>
          </w:tcPr>
          <w:p>
            <w:pPr>
              <w:spacing w:line="240" w:lineRule="auto"/>
              <w:ind w:right="420" w:firstLine="0" w:firstLineChars="0"/>
              <w:rPr>
                <w:rFonts w:ascii="宋体" w:hAnsi="宋体" w:eastAsia="宋体" w:cs="Times New Roman"/>
                <w:color w:val="000000"/>
                <w:sz w:val="24"/>
              </w:rPr>
            </w:pPr>
            <w:r>
              <w:rPr>
                <w:rFonts w:hint="eastAsia" w:ascii="宋体" w:hAnsi="宋体" w:eastAsia="宋体" w:cs="Times New Roman"/>
                <w:color w:val="000000"/>
                <w:sz w:val="24"/>
              </w:rPr>
              <w:t xml:space="preserve">（小写）               （大写）                      </w:t>
            </w:r>
          </w:p>
        </w:tc>
      </w:tr>
      <w:tr>
        <w:tblPrEx>
          <w:tblCellMar>
            <w:top w:w="0" w:type="dxa"/>
            <w:left w:w="0" w:type="dxa"/>
            <w:bottom w:w="0" w:type="dxa"/>
            <w:right w:w="0" w:type="dxa"/>
          </w:tblCellMar>
        </w:tblPrEx>
        <w:trPr>
          <w:trHeight w:val="799" w:hRule="atLeast"/>
        </w:trPr>
        <w:tc>
          <w:tcPr>
            <w:tcW w:w="1620" w:type="dxa"/>
            <w:gridSpan w:val="2"/>
            <w:tcBorders>
              <w:top w:val="single" w:color="auto" w:sz="12" w:space="0"/>
              <w:left w:val="single" w:color="auto" w:sz="12" w:space="0"/>
              <w:bottom w:val="single" w:color="auto" w:sz="12" w:space="0"/>
              <w:right w:val="single" w:color="auto" w:sz="12" w:space="0"/>
            </w:tcBorders>
            <w:tcMar>
              <w:top w:w="14" w:type="dxa"/>
              <w:left w:w="14" w:type="dxa"/>
              <w:bottom w:w="0" w:type="dxa"/>
              <w:right w:w="14" w:type="dxa"/>
            </w:tcMar>
            <w:vAlign w:val="center"/>
          </w:tcPr>
          <w:p>
            <w:pPr>
              <w:spacing w:line="240" w:lineRule="auto"/>
              <w:ind w:firstLine="0" w:firstLineChars="0"/>
              <w:jc w:val="center"/>
              <w:rPr>
                <w:rFonts w:ascii="宋体" w:hAnsi="宋体" w:eastAsia="宋体" w:cs="Times New Roman"/>
                <w:color w:val="000000"/>
                <w:sz w:val="24"/>
              </w:rPr>
            </w:pPr>
            <w:r>
              <w:rPr>
                <w:rFonts w:hint="eastAsia" w:ascii="宋体" w:hAnsi="宋体" w:eastAsia="宋体" w:cs="Times New Roman"/>
                <w:color w:val="000000"/>
                <w:sz w:val="24"/>
              </w:rPr>
              <w:t>交款时间</w:t>
            </w:r>
          </w:p>
        </w:tc>
        <w:tc>
          <w:tcPr>
            <w:tcW w:w="2880" w:type="dxa"/>
            <w:tcBorders>
              <w:top w:val="single" w:color="auto" w:sz="12" w:space="0"/>
              <w:left w:val="single" w:color="auto" w:sz="12" w:space="0"/>
              <w:bottom w:val="single" w:color="auto" w:sz="12" w:space="0"/>
              <w:right w:val="single" w:color="auto" w:sz="12" w:space="0"/>
            </w:tcBorders>
            <w:tcMar>
              <w:top w:w="14" w:type="dxa"/>
              <w:left w:w="14" w:type="dxa"/>
              <w:bottom w:w="0" w:type="dxa"/>
              <w:right w:w="14" w:type="dxa"/>
            </w:tcMar>
            <w:vAlign w:val="center"/>
          </w:tcPr>
          <w:p>
            <w:pPr>
              <w:spacing w:line="240" w:lineRule="auto"/>
              <w:ind w:firstLine="0" w:firstLineChars="0"/>
              <w:jc w:val="center"/>
              <w:rPr>
                <w:rFonts w:ascii="宋体" w:hAnsi="宋体" w:eastAsia="宋体" w:cs="Times New Roman"/>
                <w:color w:val="000000"/>
                <w:sz w:val="24"/>
              </w:rPr>
            </w:pPr>
          </w:p>
        </w:tc>
        <w:tc>
          <w:tcPr>
            <w:tcW w:w="1789" w:type="dxa"/>
            <w:tcBorders>
              <w:top w:val="single" w:color="auto" w:sz="12" w:space="0"/>
              <w:left w:val="single" w:color="auto" w:sz="12" w:space="0"/>
              <w:bottom w:val="single" w:color="auto" w:sz="12" w:space="0"/>
              <w:right w:val="single" w:color="auto" w:sz="12" w:space="0"/>
            </w:tcBorders>
            <w:tcMar>
              <w:top w:w="14" w:type="dxa"/>
              <w:left w:w="14" w:type="dxa"/>
              <w:bottom w:w="0" w:type="dxa"/>
              <w:right w:w="14" w:type="dxa"/>
            </w:tcMar>
            <w:vAlign w:val="center"/>
          </w:tcPr>
          <w:p>
            <w:pPr>
              <w:spacing w:line="240" w:lineRule="auto"/>
              <w:ind w:firstLine="0" w:firstLineChars="0"/>
              <w:jc w:val="center"/>
              <w:rPr>
                <w:rFonts w:ascii="宋体" w:hAnsi="宋体" w:eastAsia="宋体" w:cs="Times New Roman"/>
                <w:color w:val="000000"/>
                <w:sz w:val="24"/>
              </w:rPr>
            </w:pPr>
            <w:r>
              <w:rPr>
                <w:rFonts w:hint="eastAsia" w:ascii="宋体" w:hAnsi="宋体" w:eastAsia="宋体" w:cs="Times New Roman"/>
                <w:color w:val="000000"/>
                <w:sz w:val="24"/>
              </w:rPr>
              <w:t>联系人、 联系电话</w:t>
            </w:r>
          </w:p>
        </w:tc>
        <w:tc>
          <w:tcPr>
            <w:tcW w:w="3071" w:type="dxa"/>
            <w:gridSpan w:val="2"/>
            <w:tcBorders>
              <w:top w:val="single" w:color="auto" w:sz="12" w:space="0"/>
              <w:left w:val="single" w:color="auto" w:sz="12" w:space="0"/>
              <w:bottom w:val="single" w:color="auto" w:sz="12" w:space="0"/>
              <w:right w:val="single" w:color="auto" w:sz="12" w:space="0"/>
            </w:tcBorders>
            <w:tcMar>
              <w:top w:w="14" w:type="dxa"/>
              <w:left w:w="14" w:type="dxa"/>
              <w:bottom w:w="0" w:type="dxa"/>
              <w:right w:w="14" w:type="dxa"/>
            </w:tcMar>
            <w:vAlign w:val="center"/>
          </w:tcPr>
          <w:p>
            <w:pPr>
              <w:spacing w:line="240" w:lineRule="auto"/>
              <w:ind w:firstLine="0" w:firstLineChars="0"/>
              <w:jc w:val="center"/>
              <w:rPr>
                <w:rFonts w:ascii="宋体" w:hAnsi="宋体" w:eastAsia="宋体" w:cs="Times New Roman"/>
                <w:color w:val="000000"/>
                <w:sz w:val="24"/>
              </w:rPr>
            </w:pPr>
          </w:p>
        </w:tc>
      </w:tr>
      <w:tr>
        <w:tblPrEx>
          <w:tblCellMar>
            <w:top w:w="0" w:type="dxa"/>
            <w:left w:w="0" w:type="dxa"/>
            <w:bottom w:w="0" w:type="dxa"/>
            <w:right w:w="0" w:type="dxa"/>
          </w:tblCellMar>
        </w:tblPrEx>
        <w:trPr>
          <w:trHeight w:val="420" w:hRule="atLeast"/>
        </w:trPr>
        <w:tc>
          <w:tcPr>
            <w:tcW w:w="9360" w:type="dxa"/>
            <w:gridSpan w:val="6"/>
            <w:tcBorders>
              <w:top w:val="single" w:color="auto" w:sz="12" w:space="0"/>
              <w:left w:val="nil"/>
              <w:bottom w:val="nil"/>
              <w:right w:val="nil"/>
            </w:tcBorders>
            <w:tcMar>
              <w:top w:w="14" w:type="dxa"/>
              <w:left w:w="14" w:type="dxa"/>
              <w:bottom w:w="0" w:type="dxa"/>
              <w:right w:w="14" w:type="dxa"/>
            </w:tcMar>
            <w:vAlign w:val="center"/>
          </w:tcPr>
          <w:p>
            <w:pPr>
              <w:spacing w:line="240" w:lineRule="auto"/>
              <w:ind w:firstLine="0" w:firstLineChars="0"/>
              <w:jc w:val="right"/>
              <w:rPr>
                <w:rFonts w:ascii="Times New Roman" w:hAnsi="Times New Roman" w:eastAsia="宋体" w:cs="Times New Roman"/>
                <w:color w:val="000000"/>
                <w:sz w:val="24"/>
                <w:szCs w:val="24"/>
              </w:rPr>
            </w:pPr>
          </w:p>
          <w:p>
            <w:pPr>
              <w:spacing w:line="240" w:lineRule="auto"/>
              <w:ind w:firstLine="0" w:firstLineChars="0"/>
              <w:jc w:val="right"/>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rPr>
              <w:t>年    月    日</w:t>
            </w:r>
          </w:p>
        </w:tc>
      </w:tr>
    </w:tbl>
    <w:p>
      <w:pPr>
        <w:spacing w:line="240" w:lineRule="auto"/>
        <w:ind w:firstLine="0" w:firstLineChars="0"/>
        <w:jc w:val="right"/>
        <w:rPr>
          <w:rFonts w:ascii="宋体" w:hAnsi="宋体" w:eastAsia="宋体" w:cs="Times New Roman"/>
          <w:color w:val="000000"/>
          <w:sz w:val="24"/>
          <w:szCs w:val="24"/>
        </w:rPr>
      </w:pPr>
    </w:p>
    <w:p>
      <w:pPr>
        <w:spacing w:line="240" w:lineRule="auto"/>
        <w:ind w:firstLine="0" w:firstLineChars="0"/>
        <w:jc w:val="right"/>
        <w:rPr>
          <w:rFonts w:ascii="宋体" w:hAnsi="宋体" w:eastAsia="宋体" w:cs="Times New Roman"/>
          <w:color w:val="000000"/>
          <w:sz w:val="24"/>
          <w:szCs w:val="24"/>
        </w:rPr>
      </w:pPr>
    </w:p>
    <w:p>
      <w:pPr>
        <w:spacing w:line="240" w:lineRule="auto"/>
        <w:ind w:firstLine="0" w:firstLineChars="0"/>
        <w:jc w:val="right"/>
        <w:rPr>
          <w:rFonts w:ascii="宋体" w:hAnsi="宋体" w:eastAsia="宋体" w:cs="Times New Roman"/>
          <w:color w:val="000000"/>
          <w:sz w:val="24"/>
          <w:szCs w:val="24"/>
        </w:rPr>
      </w:pPr>
    </w:p>
    <w:p>
      <w:pPr>
        <w:spacing w:line="240" w:lineRule="auto"/>
        <w:ind w:firstLine="0" w:firstLineChars="0"/>
        <w:jc w:val="right"/>
        <w:rPr>
          <w:rFonts w:ascii="宋体" w:hAnsi="宋体" w:eastAsia="宋体" w:cs="Times New Roman"/>
          <w:bCs/>
          <w:color w:val="000000"/>
          <w:sz w:val="24"/>
          <w:szCs w:val="24"/>
        </w:rPr>
      </w:pPr>
      <w:r>
        <w:rPr>
          <w:rFonts w:hint="eastAsia" w:ascii="宋体" w:hAnsi="宋体" w:eastAsia="宋体" w:cs="Times New Roman"/>
          <w:color w:val="000000"/>
          <w:sz w:val="24"/>
          <w:szCs w:val="24"/>
        </w:rPr>
        <w:t>说明：本</w:t>
      </w:r>
      <w:r>
        <w:rPr>
          <w:rFonts w:hint="eastAsia" w:ascii="宋体" w:hAnsi="宋体" w:eastAsia="宋体" w:cs="Times New Roman"/>
          <w:bCs/>
          <w:color w:val="000000"/>
          <w:sz w:val="24"/>
          <w:szCs w:val="24"/>
        </w:rPr>
        <w:t>表须按规定格式逐项填写，</w:t>
      </w:r>
      <w:r>
        <w:rPr>
          <w:rFonts w:hint="eastAsia" w:ascii="Times New Roman" w:hAnsi="Times New Roman" w:eastAsia="宋体" w:cs="Times New Roman"/>
          <w:bCs/>
          <w:color w:val="000000"/>
          <w:sz w:val="24"/>
          <w:szCs w:val="24"/>
        </w:rPr>
        <w:t>于登记时当场提交。</w:t>
      </w:r>
    </w:p>
    <w:p>
      <w:pPr>
        <w:spacing w:line="240" w:lineRule="auto"/>
        <w:ind w:firstLine="0" w:firstLineChars="0"/>
        <w:rPr>
          <w:rFonts w:ascii="Times New Roman" w:hAnsi="Times New Roman" w:eastAsia="黑体" w:cs="Times New Roman"/>
          <w:color w:val="000000"/>
          <w:sz w:val="24"/>
          <w:szCs w:val="24"/>
        </w:rPr>
      </w:pPr>
    </w:p>
    <w:p>
      <w:pPr>
        <w:spacing w:line="240" w:lineRule="auto"/>
        <w:ind w:firstLine="0" w:firstLineChars="0"/>
        <w:rPr>
          <w:rFonts w:ascii="Times New Roman" w:hAnsi="Times New Roman" w:eastAsia="黑体" w:cs="Times New Roman"/>
          <w:color w:val="000000"/>
          <w:sz w:val="24"/>
          <w:szCs w:val="24"/>
        </w:rPr>
      </w:pPr>
    </w:p>
    <w:p>
      <w:pPr>
        <w:spacing w:line="240" w:lineRule="auto"/>
        <w:ind w:firstLine="0" w:firstLineChars="0"/>
        <w:rPr>
          <w:rFonts w:ascii="Times New Roman" w:hAnsi="Times New Roman" w:eastAsia="宋体" w:cs="Times New Roman"/>
          <w:sz w:val="24"/>
          <w:szCs w:val="24"/>
        </w:rPr>
      </w:pPr>
    </w:p>
    <w:p>
      <w:pPr>
        <w:spacing w:line="240" w:lineRule="auto"/>
        <w:ind w:firstLine="0" w:firstLineChars="0"/>
        <w:rPr>
          <w:rFonts w:ascii="Times New Roman" w:hAnsi="Times New Roman" w:eastAsia="宋体" w:cs="Times New Roman"/>
          <w:sz w:val="24"/>
          <w:szCs w:val="24"/>
        </w:rPr>
      </w:pPr>
    </w:p>
    <w:p>
      <w:pPr>
        <w:spacing w:line="240" w:lineRule="auto"/>
        <w:ind w:firstLine="0" w:firstLineChars="0"/>
        <w:rPr>
          <w:rFonts w:ascii="Times New Roman" w:hAnsi="Times New Roman" w:eastAsia="宋体" w:cs="Times New Roman"/>
          <w:sz w:val="24"/>
          <w:szCs w:val="24"/>
        </w:rPr>
      </w:pPr>
    </w:p>
    <w:p>
      <w:pPr>
        <w:spacing w:line="240" w:lineRule="auto"/>
        <w:ind w:firstLine="0" w:firstLineChars="0"/>
        <w:rPr>
          <w:rFonts w:ascii="Times New Roman" w:hAnsi="Times New Roman" w:eastAsia="宋体" w:cs="Times New Roman"/>
          <w:sz w:val="24"/>
          <w:szCs w:val="24"/>
        </w:rPr>
      </w:pPr>
    </w:p>
    <w:p>
      <w:pPr>
        <w:spacing w:line="240" w:lineRule="auto"/>
        <w:ind w:firstLine="0" w:firstLineChars="0"/>
        <w:rPr>
          <w:rFonts w:ascii="Times New Roman" w:hAnsi="Times New Roman" w:eastAsia="宋体" w:cs="Times New Roman"/>
          <w:sz w:val="24"/>
          <w:szCs w:val="24"/>
        </w:rPr>
      </w:pPr>
    </w:p>
    <w:p>
      <w:pPr>
        <w:spacing w:line="240" w:lineRule="auto"/>
        <w:ind w:firstLine="0" w:firstLineChars="0"/>
        <w:rPr>
          <w:rFonts w:ascii="Times New Roman" w:hAnsi="Times New Roman" w:eastAsia="宋体" w:cs="Times New Roman"/>
          <w:sz w:val="24"/>
          <w:szCs w:val="24"/>
        </w:rPr>
      </w:pPr>
    </w:p>
    <w:p>
      <w:pPr>
        <w:ind w:firstLine="640"/>
      </w:pPr>
    </w:p>
    <w:sectPr>
      <w:headerReference r:id="rId14" w:type="first"/>
      <w:headerReference r:id="rId13" w:type="default"/>
      <w:footerReference r:id="rId15" w:type="even"/>
      <w:pgSz w:w="11906" w:h="16838"/>
      <w:pgMar w:top="1270" w:right="1689" w:bottom="848" w:left="1689" w:header="851" w:footer="0"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7D141BD-862E-4B65-B6C0-2402348FC61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2" w:fontKey="{E0CA5000-FC33-43A2-9FD6-B2177440D7C7}"/>
  </w:font>
  <w:font w:name="方正楷体_GB2312">
    <w:altName w:val="微软雅黑"/>
    <w:panose1 w:val="00000000000000000000"/>
    <w:charset w:val="86"/>
    <w:family w:val="auto"/>
    <w:pitch w:val="default"/>
    <w:sig w:usb0="00000000" w:usb1="00000000" w:usb2="00000012" w:usb3="00000000" w:csb0="00040001" w:csb1="00000000"/>
    <w:embedRegular r:id="rId3" w:fontKey="{1A1B6854-5D16-4E08-B5CC-B6D40642BF92}"/>
  </w:font>
  <w:font w:name="等线">
    <w:panose1 w:val="02010600030101010101"/>
    <w:charset w:val="86"/>
    <w:family w:val="auto"/>
    <w:pitch w:val="default"/>
    <w:sig w:usb0="A00002BF" w:usb1="38CF7CFA" w:usb2="00000016" w:usb3="00000000" w:csb0="0004000F" w:csb1="00000000"/>
    <w:embedRegular r:id="rId4" w:fontKey="{39050908-2CE4-41BB-8D93-97582D7A699F}"/>
  </w:font>
  <w:font w:name="Calibri Light">
    <w:panose1 w:val="020F03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embedRegular r:id="rId5" w:fontKey="{A49B2596-3B74-4D3C-B187-DF5A69DD4529}"/>
  </w:font>
  <w:font w:name="新宋体">
    <w:panose1 w:val="02010609030101010101"/>
    <w:charset w:val="86"/>
    <w:family w:val="modern"/>
    <w:pitch w:val="default"/>
    <w:sig w:usb0="00000283" w:usb1="288F0000" w:usb2="00000006" w:usb3="00000000" w:csb0="00040001" w:csb1="00000000"/>
    <w:embedRegular r:id="rId6" w:fontKey="{7FA10EAE-ADB7-4062-8D16-D437B54A6468}"/>
  </w:font>
  <w:font w:name="华文中宋">
    <w:panose1 w:val="02010600040101010101"/>
    <w:charset w:val="86"/>
    <w:family w:val="auto"/>
    <w:pitch w:val="default"/>
    <w:sig w:usb0="00000287" w:usb1="080F0000" w:usb2="00000000" w:usb3="00000000" w:csb0="0004009F" w:csb1="DFD70000"/>
    <w:embedRegular r:id="rId7" w:fontKey="{2EF49CCE-E556-4C8D-B690-F66A2DE1D98A}"/>
  </w:font>
  <w:font w:name="Cambria">
    <w:panose1 w:val="02040503050406030204"/>
    <w:charset w:val="00"/>
    <w:family w:val="roman"/>
    <w:pitch w:val="default"/>
    <w:sig w:usb0="E00006FF" w:usb1="420024FF" w:usb2="02000000" w:usb3="00000000" w:csb0="2000019F" w:csb1="00000000"/>
    <w:embedRegular r:id="rId8" w:fontKey="{5589E32D-2985-462D-A6B1-EBF014444BB1}"/>
  </w:font>
  <w:font w:name="方正小标宋简体">
    <w:altName w:val="微软雅黑"/>
    <w:panose1 w:val="00000000000000000000"/>
    <w:charset w:val="86"/>
    <w:family w:val="roman"/>
    <w:pitch w:val="default"/>
    <w:sig w:usb0="00000000" w:usb1="00000000" w:usb2="00000000" w:usb3="00000000" w:csb0="00040000" w:csb1="00000000"/>
    <w:embedRegular r:id="rId9" w:fontKey="{4B2A0EC1-F5DA-43D3-BAC8-F0EE59AFAE18}"/>
  </w:font>
  <w:font w:name="仿宋">
    <w:panose1 w:val="02010609060101010101"/>
    <w:charset w:val="86"/>
    <w:family w:val="modern"/>
    <w:pitch w:val="default"/>
    <w:sig w:usb0="800002BF" w:usb1="38CF7CFA" w:usb2="00000016" w:usb3="00000000" w:csb0="00040001" w:csb1="00000000"/>
    <w:embedRegular r:id="rId10" w:fontKey="{8E7D6A23-414A-4557-A88C-4E14CCF3C1CC}"/>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ind w:firstLine="360"/>
      <w:rPr>
        <w:rStyle w:val="21"/>
      </w:rPr>
    </w:pPr>
    <w:r>
      <w:fldChar w:fldCharType="begin"/>
    </w:r>
    <w:r>
      <w:rPr>
        <w:rStyle w:val="21"/>
      </w:rPr>
      <w:instrText xml:space="preserve">PAGE  </w:instrText>
    </w:r>
    <w:r>
      <w:fldChar w:fldCharType="end"/>
    </w:r>
  </w:p>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65927619"/>
    </w:sdtPr>
    <w:sdtEndPr>
      <w:rPr>
        <w:rFonts w:ascii="宋体" w:hAnsi="宋体" w:eastAsia="宋体"/>
      </w:rPr>
    </w:sdtEndPr>
    <w:sdtContent>
      <w:p>
        <w:pPr>
          <w:pStyle w:val="10"/>
          <w:ind w:firstLine="360"/>
          <w:jc w:val="center"/>
          <w:rPr>
            <w:rFonts w:ascii="宋体" w:hAnsi="宋体" w:eastAsia="宋体"/>
          </w:rPr>
        </w:pPr>
        <w:r>
          <w:rPr>
            <w:rFonts w:ascii="宋体" w:hAnsi="宋体" w:eastAsia="宋体"/>
          </w:rPr>
          <w:fldChar w:fldCharType="begin"/>
        </w:r>
        <w:r>
          <w:rPr>
            <w:rFonts w:ascii="宋体" w:hAnsi="宋体" w:eastAsia="宋体"/>
          </w:rPr>
          <w:instrText xml:space="preserve">PAGE   \* MERGEFORMAT</w:instrText>
        </w:r>
        <w:r>
          <w:rPr>
            <w:rFonts w:ascii="宋体" w:hAnsi="宋体" w:eastAsia="宋体"/>
          </w:rPr>
          <w:fldChar w:fldCharType="separate"/>
        </w:r>
        <w:r>
          <w:rPr>
            <w:rFonts w:ascii="宋体" w:hAnsi="宋体" w:eastAsia="宋体"/>
            <w:lang w:val="zh-CN"/>
          </w:rPr>
          <w:t>5</w:t>
        </w:r>
        <w:r>
          <w:rPr>
            <w:rFonts w:ascii="宋体" w:hAnsi="宋体" w:eastAsia="宋体"/>
          </w:rPr>
          <w:fldChar w:fldCharType="end"/>
        </w:r>
      </w:p>
    </w:sdtContent>
  </w:sdt>
  <w:p>
    <w:pPr>
      <w:pStyle w:val="10"/>
      <w:ind w:firstLine="36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tabs>
        <w:tab w:val="center" w:pos="4320"/>
        <w:tab w:val="right" w:pos="8640"/>
        <w:tab w:val="clear" w:pos="4153"/>
        <w:tab w:val="clear" w:pos="8306"/>
      </w:tabs>
      <w:ind w:firstLine="360"/>
      <w:rPr>
        <w:rStyle w:val="21"/>
      </w:rPr>
    </w:pPr>
    <w:r>
      <w:fldChar w:fldCharType="begin"/>
    </w:r>
    <w:r>
      <w:rPr>
        <w:rStyle w:val="21"/>
      </w:rPr>
      <w:instrText xml:space="preserve">PAGE  </w:instrText>
    </w:r>
    <w:r>
      <w:fldChar w:fldCharType="end"/>
    </w:r>
  </w:p>
  <w:p>
    <w:pPr>
      <w:pStyle w:val="10"/>
      <w:tabs>
        <w:tab w:val="center" w:pos="4320"/>
        <w:tab w:val="right" w:pos="8640"/>
        <w:tab w:val="clear" w:pos="4153"/>
        <w:tab w:val="clear" w:pos="8306"/>
      </w:tabs>
      <w:ind w:firstLine="360"/>
      <w:rPr>
        <w:rFonts w:eastAsia="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ind w:firstLine="420"/>
      <w:jc w:val="right"/>
      <w:rPr>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ind w:firstLine="420"/>
      <w:jc w:val="right"/>
      <w:rPr>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ind w:firstLine="360"/>
    </w:pPr>
    <w:bookmarkStart w:id="26" w:name="code2"/>
    <w:bookmarkEnd w:id="26"/>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320"/>
        <w:tab w:val="right" w:pos="8640"/>
        <w:tab w:val="clear" w:pos="4153"/>
        <w:tab w:val="clear" w:pos="8306"/>
      </w:tabs>
      <w:ind w:firstLine="360"/>
      <w:jc w:val="right"/>
      <w:rPr>
        <w:rFonts w:eastAsia="Times New Roman"/>
      </w:rPr>
    </w:pPr>
    <w:r>
      <w:rPr>
        <w:rFonts w:hint="eastAsia"/>
      </w:rPr>
      <w:t>房屋租赁合同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TrueTypeFonts/>
  <w:saveSubset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U0ZTc2MGFhNDIyZTliZmQzZjNlODM3OTBmYzUwMzYifQ=="/>
  </w:docVars>
  <w:rsids>
    <w:rsidRoot w:val="00024D2D"/>
    <w:rsid w:val="00013DAC"/>
    <w:rsid w:val="0002121A"/>
    <w:rsid w:val="00024D2D"/>
    <w:rsid w:val="00027CFB"/>
    <w:rsid w:val="00030CCB"/>
    <w:rsid w:val="000443B4"/>
    <w:rsid w:val="00045114"/>
    <w:rsid w:val="00060F5F"/>
    <w:rsid w:val="000642AE"/>
    <w:rsid w:val="000678BD"/>
    <w:rsid w:val="000819D2"/>
    <w:rsid w:val="00086BE8"/>
    <w:rsid w:val="000974DC"/>
    <w:rsid w:val="000A1636"/>
    <w:rsid w:val="000A21D3"/>
    <w:rsid w:val="000A425E"/>
    <w:rsid w:val="000C3494"/>
    <w:rsid w:val="000C4CE7"/>
    <w:rsid w:val="000D0D19"/>
    <w:rsid w:val="000D4BE2"/>
    <w:rsid w:val="000E08AC"/>
    <w:rsid w:val="000E58BB"/>
    <w:rsid w:val="0011279A"/>
    <w:rsid w:val="00123628"/>
    <w:rsid w:val="001523B6"/>
    <w:rsid w:val="00182C06"/>
    <w:rsid w:val="00196EB2"/>
    <w:rsid w:val="001C1C57"/>
    <w:rsid w:val="001C74DC"/>
    <w:rsid w:val="001E6D5C"/>
    <w:rsid w:val="00214EDD"/>
    <w:rsid w:val="00230EFA"/>
    <w:rsid w:val="002423B3"/>
    <w:rsid w:val="002453A3"/>
    <w:rsid w:val="0026788E"/>
    <w:rsid w:val="00273BAD"/>
    <w:rsid w:val="002756F1"/>
    <w:rsid w:val="00283104"/>
    <w:rsid w:val="00283431"/>
    <w:rsid w:val="002940C0"/>
    <w:rsid w:val="00295AAD"/>
    <w:rsid w:val="002D0DC8"/>
    <w:rsid w:val="003000B3"/>
    <w:rsid w:val="003130F6"/>
    <w:rsid w:val="00320012"/>
    <w:rsid w:val="00333A78"/>
    <w:rsid w:val="00337C74"/>
    <w:rsid w:val="00337EE6"/>
    <w:rsid w:val="00346E82"/>
    <w:rsid w:val="00353897"/>
    <w:rsid w:val="0036195B"/>
    <w:rsid w:val="0036545B"/>
    <w:rsid w:val="003657E7"/>
    <w:rsid w:val="00365E0B"/>
    <w:rsid w:val="00377BE3"/>
    <w:rsid w:val="003931C7"/>
    <w:rsid w:val="003B1078"/>
    <w:rsid w:val="003D34B8"/>
    <w:rsid w:val="003F30F3"/>
    <w:rsid w:val="003F7617"/>
    <w:rsid w:val="0040121E"/>
    <w:rsid w:val="00402E00"/>
    <w:rsid w:val="00425F7A"/>
    <w:rsid w:val="00426648"/>
    <w:rsid w:val="00431AA0"/>
    <w:rsid w:val="00432E0B"/>
    <w:rsid w:val="00440390"/>
    <w:rsid w:val="00441CFB"/>
    <w:rsid w:val="00441DF5"/>
    <w:rsid w:val="004430E0"/>
    <w:rsid w:val="004677BF"/>
    <w:rsid w:val="00473235"/>
    <w:rsid w:val="0049099C"/>
    <w:rsid w:val="004A69D8"/>
    <w:rsid w:val="004B71C3"/>
    <w:rsid w:val="004C5AA5"/>
    <w:rsid w:val="004C7C55"/>
    <w:rsid w:val="004D05B2"/>
    <w:rsid w:val="004D314F"/>
    <w:rsid w:val="004D48D4"/>
    <w:rsid w:val="004F2C71"/>
    <w:rsid w:val="005054C9"/>
    <w:rsid w:val="0052296E"/>
    <w:rsid w:val="00532193"/>
    <w:rsid w:val="0053768C"/>
    <w:rsid w:val="00541CD0"/>
    <w:rsid w:val="00546453"/>
    <w:rsid w:val="00586D98"/>
    <w:rsid w:val="005A21E4"/>
    <w:rsid w:val="005A49A2"/>
    <w:rsid w:val="005B44C2"/>
    <w:rsid w:val="005B520B"/>
    <w:rsid w:val="005B546F"/>
    <w:rsid w:val="005D674C"/>
    <w:rsid w:val="005D6893"/>
    <w:rsid w:val="005E30FE"/>
    <w:rsid w:val="005F252F"/>
    <w:rsid w:val="006221FE"/>
    <w:rsid w:val="00622B85"/>
    <w:rsid w:val="006323D9"/>
    <w:rsid w:val="00636DA1"/>
    <w:rsid w:val="006428A4"/>
    <w:rsid w:val="00643239"/>
    <w:rsid w:val="0064353E"/>
    <w:rsid w:val="00681F14"/>
    <w:rsid w:val="00687E68"/>
    <w:rsid w:val="006E22B5"/>
    <w:rsid w:val="006E60D0"/>
    <w:rsid w:val="006F05A8"/>
    <w:rsid w:val="00702AFD"/>
    <w:rsid w:val="00704EC1"/>
    <w:rsid w:val="00717360"/>
    <w:rsid w:val="00733615"/>
    <w:rsid w:val="0073543B"/>
    <w:rsid w:val="00747E47"/>
    <w:rsid w:val="00755F05"/>
    <w:rsid w:val="007574BF"/>
    <w:rsid w:val="00761762"/>
    <w:rsid w:val="007759E8"/>
    <w:rsid w:val="007911FD"/>
    <w:rsid w:val="007A2FAC"/>
    <w:rsid w:val="007A4E0C"/>
    <w:rsid w:val="007B4B9E"/>
    <w:rsid w:val="007C303E"/>
    <w:rsid w:val="007C60DB"/>
    <w:rsid w:val="007C7A61"/>
    <w:rsid w:val="007D6C5C"/>
    <w:rsid w:val="007F695A"/>
    <w:rsid w:val="007F7A5B"/>
    <w:rsid w:val="00812FAC"/>
    <w:rsid w:val="00813FD0"/>
    <w:rsid w:val="00820DDE"/>
    <w:rsid w:val="0082267A"/>
    <w:rsid w:val="00834907"/>
    <w:rsid w:val="00860714"/>
    <w:rsid w:val="00861C13"/>
    <w:rsid w:val="0089525F"/>
    <w:rsid w:val="008A1850"/>
    <w:rsid w:val="008A2AF5"/>
    <w:rsid w:val="008B1F01"/>
    <w:rsid w:val="008D4A94"/>
    <w:rsid w:val="0092522B"/>
    <w:rsid w:val="00934386"/>
    <w:rsid w:val="00941AA9"/>
    <w:rsid w:val="0098019A"/>
    <w:rsid w:val="00982AE1"/>
    <w:rsid w:val="009B2888"/>
    <w:rsid w:val="00A00B1D"/>
    <w:rsid w:val="00A11029"/>
    <w:rsid w:val="00A30843"/>
    <w:rsid w:val="00A34662"/>
    <w:rsid w:val="00A404A3"/>
    <w:rsid w:val="00A540BB"/>
    <w:rsid w:val="00A54174"/>
    <w:rsid w:val="00A61290"/>
    <w:rsid w:val="00A75CE0"/>
    <w:rsid w:val="00A96477"/>
    <w:rsid w:val="00AC79EE"/>
    <w:rsid w:val="00AD236D"/>
    <w:rsid w:val="00AD5416"/>
    <w:rsid w:val="00AE69AE"/>
    <w:rsid w:val="00AF1B15"/>
    <w:rsid w:val="00B10FCD"/>
    <w:rsid w:val="00B12642"/>
    <w:rsid w:val="00B261A5"/>
    <w:rsid w:val="00B368E8"/>
    <w:rsid w:val="00B37F24"/>
    <w:rsid w:val="00B419FB"/>
    <w:rsid w:val="00B46832"/>
    <w:rsid w:val="00B642EB"/>
    <w:rsid w:val="00B7558A"/>
    <w:rsid w:val="00BB32CA"/>
    <w:rsid w:val="00BB622E"/>
    <w:rsid w:val="00BD5175"/>
    <w:rsid w:val="00BE026C"/>
    <w:rsid w:val="00BF11F2"/>
    <w:rsid w:val="00BF1603"/>
    <w:rsid w:val="00BF556C"/>
    <w:rsid w:val="00C006CD"/>
    <w:rsid w:val="00C11423"/>
    <w:rsid w:val="00C20726"/>
    <w:rsid w:val="00C22846"/>
    <w:rsid w:val="00C32362"/>
    <w:rsid w:val="00C545F8"/>
    <w:rsid w:val="00C843F6"/>
    <w:rsid w:val="00C955F3"/>
    <w:rsid w:val="00C96AAC"/>
    <w:rsid w:val="00CA2C5E"/>
    <w:rsid w:val="00CA586D"/>
    <w:rsid w:val="00CA7C10"/>
    <w:rsid w:val="00CB700C"/>
    <w:rsid w:val="00CB7D3C"/>
    <w:rsid w:val="00CE382E"/>
    <w:rsid w:val="00CF3A06"/>
    <w:rsid w:val="00D04096"/>
    <w:rsid w:val="00D2780E"/>
    <w:rsid w:val="00D30C27"/>
    <w:rsid w:val="00D5023C"/>
    <w:rsid w:val="00D53C62"/>
    <w:rsid w:val="00D63E11"/>
    <w:rsid w:val="00D67BD3"/>
    <w:rsid w:val="00D801E4"/>
    <w:rsid w:val="00D91827"/>
    <w:rsid w:val="00D938C5"/>
    <w:rsid w:val="00DA0E60"/>
    <w:rsid w:val="00DA68C2"/>
    <w:rsid w:val="00DB6BB7"/>
    <w:rsid w:val="00DC33CE"/>
    <w:rsid w:val="00E02CA7"/>
    <w:rsid w:val="00E216FD"/>
    <w:rsid w:val="00E235A8"/>
    <w:rsid w:val="00E3192A"/>
    <w:rsid w:val="00E50911"/>
    <w:rsid w:val="00E51A80"/>
    <w:rsid w:val="00E52BF9"/>
    <w:rsid w:val="00E70DE4"/>
    <w:rsid w:val="00E95BBA"/>
    <w:rsid w:val="00E97FC0"/>
    <w:rsid w:val="00EB2DBB"/>
    <w:rsid w:val="00EC3E18"/>
    <w:rsid w:val="00EE1500"/>
    <w:rsid w:val="00F039F3"/>
    <w:rsid w:val="00F05C0C"/>
    <w:rsid w:val="00F21D9A"/>
    <w:rsid w:val="00F322BB"/>
    <w:rsid w:val="00F32BC3"/>
    <w:rsid w:val="00F443FE"/>
    <w:rsid w:val="00F44558"/>
    <w:rsid w:val="00F50FAB"/>
    <w:rsid w:val="00F627DB"/>
    <w:rsid w:val="00F83314"/>
    <w:rsid w:val="00F85C8C"/>
    <w:rsid w:val="00F92ECD"/>
    <w:rsid w:val="00FA0DFF"/>
    <w:rsid w:val="00FB3EE0"/>
    <w:rsid w:val="00FB65E2"/>
    <w:rsid w:val="00FC29A5"/>
    <w:rsid w:val="01036FB3"/>
    <w:rsid w:val="037B4FDD"/>
    <w:rsid w:val="045C5725"/>
    <w:rsid w:val="0CAC2E94"/>
    <w:rsid w:val="0DA00D1E"/>
    <w:rsid w:val="0F695B2F"/>
    <w:rsid w:val="16CE1F73"/>
    <w:rsid w:val="190A2980"/>
    <w:rsid w:val="1B4D2C5C"/>
    <w:rsid w:val="23240FBA"/>
    <w:rsid w:val="2569499A"/>
    <w:rsid w:val="289833D8"/>
    <w:rsid w:val="294D5E6F"/>
    <w:rsid w:val="29C9683E"/>
    <w:rsid w:val="2B4D2E5B"/>
    <w:rsid w:val="2E3C20EF"/>
    <w:rsid w:val="32D707EF"/>
    <w:rsid w:val="34044FF7"/>
    <w:rsid w:val="37EC2460"/>
    <w:rsid w:val="383879BA"/>
    <w:rsid w:val="3841513C"/>
    <w:rsid w:val="3903477B"/>
    <w:rsid w:val="3BAF63FC"/>
    <w:rsid w:val="3BC7385D"/>
    <w:rsid w:val="40216DDA"/>
    <w:rsid w:val="42121104"/>
    <w:rsid w:val="437E09F4"/>
    <w:rsid w:val="4A0945F2"/>
    <w:rsid w:val="4CC35091"/>
    <w:rsid w:val="4EA40B2A"/>
    <w:rsid w:val="4F213D48"/>
    <w:rsid w:val="52427A99"/>
    <w:rsid w:val="566A2356"/>
    <w:rsid w:val="57236A5C"/>
    <w:rsid w:val="5AA1561B"/>
    <w:rsid w:val="5AEB2A67"/>
    <w:rsid w:val="5B490BAD"/>
    <w:rsid w:val="5B847732"/>
    <w:rsid w:val="5B965199"/>
    <w:rsid w:val="5C345481"/>
    <w:rsid w:val="5C5E3A3D"/>
    <w:rsid w:val="5C9B21E6"/>
    <w:rsid w:val="5F806980"/>
    <w:rsid w:val="64984EE9"/>
    <w:rsid w:val="64C154B6"/>
    <w:rsid w:val="656A6EF9"/>
    <w:rsid w:val="6AE20AD4"/>
    <w:rsid w:val="72A83AF4"/>
    <w:rsid w:val="731865AD"/>
    <w:rsid w:val="736A41F9"/>
    <w:rsid w:val="75575EF6"/>
    <w:rsid w:val="77CC7F87"/>
    <w:rsid w:val="7A52184C"/>
    <w:rsid w:val="7C8D6E8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20" w:lineRule="exact"/>
      <w:ind w:firstLine="200" w:firstLineChars="200"/>
      <w:jc w:val="both"/>
    </w:pPr>
    <w:rPr>
      <w:rFonts w:ascii="方正楷体_GB2312" w:hAnsi="等线" w:eastAsia="方正楷体_GB2312" w:cs="宋体"/>
      <w:kern w:val="2"/>
      <w:sz w:val="32"/>
      <w:szCs w:val="21"/>
      <w:lang w:val="en-US" w:eastAsia="zh-CN" w:bidi="ar-SA"/>
    </w:rPr>
  </w:style>
  <w:style w:type="paragraph" w:styleId="2">
    <w:name w:val="heading 1"/>
    <w:basedOn w:val="1"/>
    <w:next w:val="1"/>
    <w:link w:val="26"/>
    <w:qFormat/>
    <w:uiPriority w:val="0"/>
    <w:pPr>
      <w:keepNext/>
      <w:keepLines/>
      <w:spacing w:before="340" w:after="330" w:line="578" w:lineRule="atLeast"/>
      <w:outlineLvl w:val="0"/>
    </w:pPr>
    <w:rPr>
      <w:b/>
      <w:bCs/>
      <w:kern w:val="44"/>
      <w:sz w:val="44"/>
      <w:szCs w:val="44"/>
    </w:rPr>
  </w:style>
  <w:style w:type="paragraph" w:styleId="3">
    <w:name w:val="heading 2"/>
    <w:basedOn w:val="1"/>
    <w:next w:val="1"/>
    <w:link w:val="27"/>
    <w:semiHidden/>
    <w:unhideWhenUsed/>
    <w:qFormat/>
    <w:uiPriority w:val="0"/>
    <w:pPr>
      <w:keepNext/>
      <w:keepLines/>
      <w:spacing w:before="260" w:after="260" w:line="416" w:lineRule="atLeast"/>
      <w:outlineLvl w:val="1"/>
    </w:pPr>
    <w:rPr>
      <w:rFonts w:asciiTheme="majorHAnsi" w:hAnsiTheme="majorHAnsi" w:eastAsiaTheme="majorEastAsia" w:cstheme="majorBidi"/>
      <w:b/>
      <w:bCs/>
      <w:szCs w:val="32"/>
    </w:rPr>
  </w:style>
  <w:style w:type="character" w:default="1" w:styleId="20">
    <w:name w:val="Default Paragraph Font"/>
    <w:semiHidden/>
    <w:unhideWhenUsed/>
    <w:qFormat/>
    <w:uiPriority w:val="1"/>
  </w:style>
  <w:style w:type="table" w:default="1" w:styleId="19">
    <w:name w:val="Normal Table"/>
    <w:semiHidden/>
    <w:unhideWhenUsed/>
    <w:uiPriority w:val="99"/>
    <w:tblPr>
      <w:tblCellMar>
        <w:top w:w="0" w:type="dxa"/>
        <w:left w:w="108" w:type="dxa"/>
        <w:bottom w:w="0" w:type="dxa"/>
        <w:right w:w="108" w:type="dxa"/>
      </w:tblCellMar>
    </w:tblPr>
  </w:style>
  <w:style w:type="paragraph" w:styleId="4">
    <w:name w:val="toc 7"/>
    <w:basedOn w:val="1"/>
    <w:next w:val="1"/>
    <w:qFormat/>
    <w:uiPriority w:val="0"/>
    <w:pPr>
      <w:ind w:left="1920"/>
      <w:jc w:val="left"/>
    </w:pPr>
    <w:rPr>
      <w:rFonts w:asciiTheme="minorHAnsi" w:hAnsiTheme="minorHAnsi" w:cstheme="minorHAnsi"/>
      <w:sz w:val="18"/>
      <w:szCs w:val="18"/>
    </w:rPr>
  </w:style>
  <w:style w:type="paragraph" w:styleId="5">
    <w:name w:val="annotation text"/>
    <w:basedOn w:val="1"/>
    <w:link w:val="29"/>
    <w:qFormat/>
    <w:uiPriority w:val="0"/>
    <w:pPr>
      <w:spacing w:line="240" w:lineRule="auto"/>
      <w:ind w:firstLine="0" w:firstLineChars="0"/>
      <w:jc w:val="left"/>
    </w:pPr>
    <w:rPr>
      <w:rFonts w:ascii="Calibri" w:hAnsi="Calibri" w:eastAsia="宋体" w:cs="Times New Roman"/>
      <w:sz w:val="21"/>
      <w:szCs w:val="20"/>
    </w:rPr>
  </w:style>
  <w:style w:type="paragraph" w:styleId="6">
    <w:name w:val="toc 5"/>
    <w:basedOn w:val="1"/>
    <w:next w:val="1"/>
    <w:qFormat/>
    <w:uiPriority w:val="0"/>
    <w:pPr>
      <w:ind w:left="1280"/>
      <w:jc w:val="left"/>
    </w:pPr>
    <w:rPr>
      <w:rFonts w:asciiTheme="minorHAnsi" w:hAnsiTheme="minorHAnsi" w:cstheme="minorHAnsi"/>
      <w:sz w:val="18"/>
      <w:szCs w:val="18"/>
    </w:rPr>
  </w:style>
  <w:style w:type="paragraph" w:styleId="7">
    <w:name w:val="toc 3"/>
    <w:basedOn w:val="1"/>
    <w:next w:val="1"/>
    <w:qFormat/>
    <w:uiPriority w:val="39"/>
    <w:pPr>
      <w:ind w:left="640"/>
      <w:jc w:val="left"/>
    </w:pPr>
    <w:rPr>
      <w:rFonts w:asciiTheme="minorHAnsi" w:hAnsiTheme="minorHAnsi" w:cstheme="minorHAnsi"/>
      <w:i/>
      <w:iCs/>
      <w:sz w:val="20"/>
      <w:szCs w:val="20"/>
    </w:rPr>
  </w:style>
  <w:style w:type="paragraph" w:styleId="8">
    <w:name w:val="toc 8"/>
    <w:basedOn w:val="1"/>
    <w:next w:val="1"/>
    <w:qFormat/>
    <w:uiPriority w:val="0"/>
    <w:pPr>
      <w:ind w:left="2240"/>
      <w:jc w:val="left"/>
    </w:pPr>
    <w:rPr>
      <w:rFonts w:asciiTheme="minorHAnsi" w:hAnsiTheme="minorHAnsi" w:cstheme="minorHAnsi"/>
      <w:sz w:val="18"/>
      <w:szCs w:val="18"/>
    </w:rPr>
  </w:style>
  <w:style w:type="paragraph" w:styleId="9">
    <w:name w:val="Balloon Text"/>
    <w:basedOn w:val="1"/>
    <w:link w:val="24"/>
    <w:qFormat/>
    <w:uiPriority w:val="0"/>
    <w:pPr>
      <w:spacing w:line="240" w:lineRule="auto"/>
    </w:pPr>
    <w:rPr>
      <w:sz w:val="18"/>
      <w:szCs w:val="18"/>
    </w:rPr>
  </w:style>
  <w:style w:type="paragraph" w:styleId="10">
    <w:name w:val="footer"/>
    <w:basedOn w:val="1"/>
    <w:link w:val="25"/>
    <w:qFormat/>
    <w:uiPriority w:val="0"/>
    <w:pPr>
      <w:tabs>
        <w:tab w:val="center" w:pos="4153"/>
        <w:tab w:val="right" w:pos="8306"/>
      </w:tabs>
      <w:snapToGrid w:val="0"/>
      <w:jc w:val="left"/>
    </w:pPr>
    <w:rPr>
      <w:sz w:val="18"/>
      <w:szCs w:val="18"/>
    </w:rPr>
  </w:style>
  <w:style w:type="paragraph" w:styleId="11">
    <w:name w:val="header"/>
    <w:basedOn w:val="1"/>
    <w:link w:val="30"/>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pPr>
      <w:spacing w:before="120" w:after="120"/>
      <w:jc w:val="left"/>
    </w:pPr>
    <w:rPr>
      <w:rFonts w:asciiTheme="minorHAnsi" w:hAnsiTheme="minorHAnsi" w:cstheme="minorHAnsi"/>
      <w:b/>
      <w:bCs/>
      <w:caps/>
      <w:sz w:val="20"/>
      <w:szCs w:val="20"/>
    </w:rPr>
  </w:style>
  <w:style w:type="paragraph" w:styleId="13">
    <w:name w:val="toc 4"/>
    <w:basedOn w:val="1"/>
    <w:next w:val="1"/>
    <w:qFormat/>
    <w:uiPriority w:val="0"/>
    <w:pPr>
      <w:ind w:left="960"/>
      <w:jc w:val="left"/>
    </w:pPr>
    <w:rPr>
      <w:rFonts w:asciiTheme="minorHAnsi" w:hAnsiTheme="minorHAnsi" w:cstheme="minorHAnsi"/>
      <w:sz w:val="18"/>
      <w:szCs w:val="18"/>
    </w:rPr>
  </w:style>
  <w:style w:type="paragraph" w:styleId="14">
    <w:name w:val="toc 6"/>
    <w:basedOn w:val="1"/>
    <w:next w:val="1"/>
    <w:qFormat/>
    <w:uiPriority w:val="0"/>
    <w:pPr>
      <w:ind w:left="1600"/>
      <w:jc w:val="left"/>
    </w:pPr>
    <w:rPr>
      <w:rFonts w:asciiTheme="minorHAnsi" w:hAnsiTheme="minorHAnsi" w:cstheme="minorHAnsi"/>
      <w:sz w:val="18"/>
      <w:szCs w:val="18"/>
    </w:rPr>
  </w:style>
  <w:style w:type="paragraph" w:styleId="15">
    <w:name w:val="toc 2"/>
    <w:basedOn w:val="1"/>
    <w:next w:val="1"/>
    <w:qFormat/>
    <w:uiPriority w:val="39"/>
    <w:pPr>
      <w:tabs>
        <w:tab w:val="right" w:leader="dot" w:pos="9854"/>
      </w:tabs>
      <w:spacing w:line="500" w:lineRule="exact"/>
      <w:ind w:left="320" w:firstLine="400"/>
      <w:jc w:val="left"/>
    </w:pPr>
    <w:rPr>
      <w:rFonts w:ascii="Arial" w:hAnsi="Arial" w:eastAsia="新宋体" w:cs="Times New Roman"/>
      <w:smallCaps/>
      <w:sz w:val="20"/>
      <w:szCs w:val="20"/>
    </w:rPr>
  </w:style>
  <w:style w:type="paragraph" w:styleId="16">
    <w:name w:val="toc 9"/>
    <w:basedOn w:val="1"/>
    <w:next w:val="1"/>
    <w:qFormat/>
    <w:uiPriority w:val="0"/>
    <w:pPr>
      <w:ind w:left="2560"/>
      <w:jc w:val="left"/>
    </w:pPr>
    <w:rPr>
      <w:rFonts w:asciiTheme="minorHAnsi" w:hAnsiTheme="minorHAnsi" w:cstheme="minorHAnsi"/>
      <w:sz w:val="18"/>
      <w:szCs w:val="18"/>
    </w:rPr>
  </w:style>
  <w:style w:type="paragraph" w:styleId="17">
    <w:name w:val="Normal (Web)"/>
    <w:basedOn w:val="1"/>
    <w:qFormat/>
    <w:uiPriority w:val="0"/>
    <w:pPr>
      <w:spacing w:beforeAutospacing="1" w:afterAutospacing="1"/>
      <w:jc w:val="left"/>
    </w:pPr>
    <w:rPr>
      <w:rFonts w:cs="Times New Roman"/>
      <w:kern w:val="0"/>
      <w:sz w:val="24"/>
    </w:rPr>
  </w:style>
  <w:style w:type="paragraph" w:styleId="18">
    <w:name w:val="annotation subject"/>
    <w:basedOn w:val="5"/>
    <w:next w:val="5"/>
    <w:link w:val="32"/>
    <w:uiPriority w:val="0"/>
    <w:pPr>
      <w:spacing w:line="620" w:lineRule="exact"/>
      <w:ind w:firstLine="200" w:firstLineChars="200"/>
    </w:pPr>
    <w:rPr>
      <w:rFonts w:ascii="方正楷体_GB2312" w:hAnsi="等线" w:eastAsia="方正楷体_GB2312" w:cs="宋体"/>
      <w:b/>
      <w:bCs/>
      <w:sz w:val="32"/>
      <w:szCs w:val="21"/>
    </w:rPr>
  </w:style>
  <w:style w:type="character" w:styleId="21">
    <w:name w:val="page number"/>
    <w:basedOn w:val="20"/>
    <w:qFormat/>
    <w:uiPriority w:val="0"/>
  </w:style>
  <w:style w:type="character" w:styleId="22">
    <w:name w:val="Hyperlink"/>
    <w:basedOn w:val="20"/>
    <w:unhideWhenUsed/>
    <w:qFormat/>
    <w:uiPriority w:val="99"/>
    <w:rPr>
      <w:color w:val="0563C1" w:themeColor="hyperlink"/>
      <w:u w:val="single"/>
      <w14:textFill>
        <w14:solidFill>
          <w14:schemeClr w14:val="hlink"/>
        </w14:solidFill>
      </w14:textFill>
    </w:rPr>
  </w:style>
  <w:style w:type="character" w:styleId="23">
    <w:name w:val="annotation reference"/>
    <w:basedOn w:val="20"/>
    <w:qFormat/>
    <w:uiPriority w:val="0"/>
    <w:rPr>
      <w:sz w:val="21"/>
      <w:szCs w:val="21"/>
    </w:rPr>
  </w:style>
  <w:style w:type="character" w:customStyle="1" w:styleId="24">
    <w:name w:val="批注框文本 字符"/>
    <w:basedOn w:val="20"/>
    <w:link w:val="9"/>
    <w:qFormat/>
    <w:uiPriority w:val="0"/>
    <w:rPr>
      <w:rFonts w:ascii="方正楷体_GB2312" w:hAnsi="等线" w:eastAsia="方正楷体_GB2312" w:cs="宋体"/>
      <w:kern w:val="2"/>
      <w:sz w:val="18"/>
      <w:szCs w:val="18"/>
    </w:rPr>
  </w:style>
  <w:style w:type="character" w:customStyle="1" w:styleId="25">
    <w:name w:val="页脚 字符"/>
    <w:basedOn w:val="20"/>
    <w:link w:val="10"/>
    <w:qFormat/>
    <w:uiPriority w:val="0"/>
    <w:rPr>
      <w:rFonts w:ascii="方正楷体_GB2312" w:hAnsi="等线" w:eastAsia="方正楷体_GB2312" w:cs="宋体"/>
      <w:kern w:val="2"/>
      <w:sz w:val="18"/>
      <w:szCs w:val="18"/>
    </w:rPr>
  </w:style>
  <w:style w:type="character" w:customStyle="1" w:styleId="26">
    <w:name w:val="标题 1 字符"/>
    <w:basedOn w:val="20"/>
    <w:link w:val="2"/>
    <w:qFormat/>
    <w:uiPriority w:val="0"/>
    <w:rPr>
      <w:rFonts w:ascii="方正楷体_GB2312" w:hAnsi="等线" w:eastAsia="方正楷体_GB2312" w:cs="宋体"/>
      <w:b/>
      <w:bCs/>
      <w:kern w:val="44"/>
      <w:sz w:val="44"/>
      <w:szCs w:val="44"/>
    </w:rPr>
  </w:style>
  <w:style w:type="character" w:customStyle="1" w:styleId="27">
    <w:name w:val="标题 2 字符"/>
    <w:basedOn w:val="20"/>
    <w:link w:val="3"/>
    <w:semiHidden/>
    <w:qFormat/>
    <w:uiPriority w:val="0"/>
    <w:rPr>
      <w:rFonts w:asciiTheme="majorHAnsi" w:hAnsiTheme="majorHAnsi" w:eastAsiaTheme="majorEastAsia" w:cstheme="majorBidi"/>
      <w:b/>
      <w:bCs/>
      <w:kern w:val="2"/>
      <w:sz w:val="32"/>
      <w:szCs w:val="32"/>
    </w:rPr>
  </w:style>
  <w:style w:type="paragraph" w:customStyle="1" w:styleId="28">
    <w:name w:val="TOC 标题1"/>
    <w:basedOn w:val="2"/>
    <w:next w:val="1"/>
    <w:unhideWhenUsed/>
    <w:qFormat/>
    <w:uiPriority w:val="39"/>
    <w:pPr>
      <w:widowControl/>
      <w:spacing w:before="240" w:after="0" w:line="259" w:lineRule="auto"/>
      <w:ind w:firstLine="0" w:firstLineChars="0"/>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29">
    <w:name w:val="批注文字 字符"/>
    <w:basedOn w:val="20"/>
    <w:link w:val="5"/>
    <w:qFormat/>
    <w:uiPriority w:val="0"/>
    <w:rPr>
      <w:rFonts w:ascii="Calibri" w:hAnsi="Calibri"/>
      <w:kern w:val="2"/>
      <w:sz w:val="21"/>
    </w:rPr>
  </w:style>
  <w:style w:type="character" w:customStyle="1" w:styleId="30">
    <w:name w:val="页眉 字符"/>
    <w:basedOn w:val="20"/>
    <w:link w:val="11"/>
    <w:qFormat/>
    <w:uiPriority w:val="0"/>
    <w:rPr>
      <w:rFonts w:ascii="方正楷体_GB2312" w:hAnsi="等线" w:eastAsia="方正楷体_GB2312" w:cs="宋体"/>
      <w:kern w:val="2"/>
      <w:sz w:val="18"/>
      <w:szCs w:val="18"/>
    </w:rPr>
  </w:style>
  <w:style w:type="paragraph" w:customStyle="1" w:styleId="31">
    <w:name w:val="列出段落1"/>
    <w:basedOn w:val="1"/>
    <w:qFormat/>
    <w:uiPriority w:val="0"/>
    <w:pPr>
      <w:spacing w:line="240" w:lineRule="auto"/>
      <w:ind w:firstLine="420"/>
    </w:pPr>
    <w:rPr>
      <w:rFonts w:hint="eastAsia" w:ascii="Calibri" w:hAnsi="Calibri" w:eastAsia="宋体" w:cs="Times New Roman"/>
      <w:sz w:val="21"/>
      <w:szCs w:val="20"/>
    </w:rPr>
  </w:style>
  <w:style w:type="character" w:customStyle="1" w:styleId="32">
    <w:name w:val="批注主题 字符"/>
    <w:basedOn w:val="29"/>
    <w:link w:val="18"/>
    <w:qFormat/>
    <w:uiPriority w:val="0"/>
    <w:rPr>
      <w:rFonts w:ascii="方正楷体_GB2312" w:hAnsi="等线" w:eastAsia="方正楷体_GB2312" w:cs="宋体"/>
      <w:b/>
      <w:bCs/>
      <w:kern w:val="2"/>
      <w:sz w:val="32"/>
      <w:szCs w:val="21"/>
    </w:rPr>
  </w:style>
  <w:style w:type="paragraph" w:customStyle="1" w:styleId="33">
    <w:name w:val="Revision"/>
    <w:hidden/>
    <w:semiHidden/>
    <w:qFormat/>
    <w:uiPriority w:val="99"/>
    <w:rPr>
      <w:rFonts w:ascii="方正楷体_GB2312" w:hAnsi="等线" w:eastAsia="方正楷体_GB2312" w:cs="宋体"/>
      <w:kern w:val="2"/>
      <w:sz w:val="32"/>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5.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50015-136C-42BA-87E8-C1EA3F55975D}">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17</Pages>
  <Words>5349</Words>
  <Characters>5751</Characters>
  <Lines>51</Lines>
  <Paragraphs>14</Paragraphs>
  <TotalTime>238</TotalTime>
  <ScaleCrop>false</ScaleCrop>
  <LinksUpToDate>false</LinksUpToDate>
  <CharactersWithSpaces>6213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2023-02-02T03:19:00Z</dcterms:created>
  <dc:creator>User</dc:creator>
  <cp:lastModifiedBy>WPS_1673830441</cp:lastModifiedBy>
  <cp:lastPrinted>2023-01-31T09:59:00Z</cp:lastPrinted>
  <dcterms:modified xsi:type="dcterms:W3CDTF">2024-06-04T01:58:58Z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FBBD03B6B946481BA9F291B5AE5F4509_13</vt:lpwstr>
  </property>
</Properties>
</file>