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both"/>
        <w:outlineLvl w:val="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附件4</w:t>
      </w:r>
    </w:p>
    <w:p>
      <w:pPr>
        <w:pStyle w:val="11"/>
        <w:spacing w:line="560" w:lineRule="exact"/>
        <w:jc w:val="both"/>
        <w:outlineLvl w:val="0"/>
        <w:rPr>
          <w:rFonts w:ascii="仿宋" w:hAnsi="仿宋" w:eastAsia="仿宋" w:cs="Times New Roman"/>
          <w:sz w:val="32"/>
          <w:szCs w:val="32"/>
        </w:rPr>
      </w:pPr>
    </w:p>
    <w:p>
      <w:pPr>
        <w:autoSpaceDE w:val="0"/>
        <w:autoSpaceDN w:val="0"/>
        <w:adjustRightInd w:val="0"/>
        <w:ind w:firstLine="720"/>
        <w:jc w:val="center"/>
        <w:rPr>
          <w:rFonts w:ascii="方正小标宋简体" w:eastAsia="方正小标宋简体"/>
          <w:color w:val="000000"/>
          <w:kern w:val="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2"/>
        </w:rPr>
        <w:t>超低排放改造工作总结提纲及要求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一、企业基本情况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包括企业法人名称、地理位置、主要装备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及产能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、当年主要产品产量、环保管理情况、近三年有无重大环境污染事故、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近三年有无碳排放违法违规行为、近三年有无自行监测弄虚作假情况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是否列入失信企业名单等。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二、企业超低排放改造情况概述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总体情况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对全厂超低排放改造情况进行说明，包括改造起止时间、总投资及吨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产品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投资、运行成本等。</w:t>
      </w:r>
    </w:p>
    <w:p>
      <w:pPr>
        <w:numPr>
          <w:ilvl w:val="-1"/>
          <w:numId w:val="0"/>
        </w:numPr>
        <w:adjustRightIn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2.减污降碳协同措施采用情况</w:t>
      </w:r>
    </w:p>
    <w:p>
      <w:pPr>
        <w:adjustRightInd w:val="0"/>
        <w:spacing w:line="560" w:lineRule="exact"/>
        <w:ind w:firstLine="640" w:firstLineChars="200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对企业原燃料替代、清洁能源、节能改造等减污降碳协同措施采用情况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</w:rPr>
        <w:t>碳排放自动监测情况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进行说明。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.有组织排放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  <w:lang w:val="en-US" w:eastAsia="zh-CN"/>
        </w:rPr>
        <w:t>按照</w:t>
      </w:r>
      <w:r>
        <w:rPr>
          <w:rFonts w:ascii="仿宋" w:hAnsi="仿宋" w:eastAsia="仿宋"/>
          <w:color w:val="000000"/>
          <w:kern w:val="0"/>
          <w:sz w:val="32"/>
          <w:szCs w:val="32"/>
          <w:highlight w:val="none"/>
        </w:rPr>
        <w:t>《关于推进实施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</w:rPr>
        <w:t>水泥</w:t>
      </w:r>
      <w:r>
        <w:rPr>
          <w:rFonts w:ascii="仿宋" w:hAnsi="仿宋" w:eastAsia="仿宋"/>
          <w:color w:val="000000"/>
          <w:kern w:val="0"/>
          <w:sz w:val="32"/>
          <w:szCs w:val="32"/>
          <w:highlight w:val="none"/>
        </w:rPr>
        <w:t>行业超低排放的意见》（环大气〔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</w:rPr>
        <w:t>2024</w:t>
      </w:r>
      <w:r>
        <w:rPr>
          <w:rFonts w:ascii="仿宋" w:hAnsi="仿宋" w:eastAsia="仿宋"/>
          <w:color w:val="000000"/>
          <w:kern w:val="0"/>
          <w:sz w:val="32"/>
          <w:szCs w:val="32"/>
          <w:highlight w:val="none"/>
        </w:rPr>
        <w:t>〕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highlight w:val="none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  <w:highlight w:val="none"/>
        </w:rPr>
        <w:t>号）要求（以下简称《意见》），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所有有组织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排放环节改造项目的技术路线、设施主要参数、投资情况、开工时间、投运时间、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重点废气治理工程设计和施工单位资质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等情况进行说明（可列清单描述）。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.无组织排放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按照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《意见》要求，对物料储存、物料输送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生产工艺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及其他环节无组织排放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改造内容及控制措施的技术方法或路线、投运时间等情况进行说明（可列清单描述）。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.清洁运输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/>
          <w:color w:val="000000"/>
          <w:kern w:val="0"/>
          <w:sz w:val="32"/>
          <w:szCs w:val="32"/>
        </w:rPr>
        <w:t>进出企业的原燃料清洁运输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改造内容、技术路线、改造时间等情况进行说明。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厂内运输车辆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非道路移动机械数量、类型及改造情况。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三、企业超低排放评估监测进展情况及结论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1.评估监测开展情况及现场监测条件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（1）评估监测开展过程简述、评估单位、监测单位、评估监测时间等。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）采样口和采样平台设置规范化情况，按照《意见》要求安装CEMS、分布式控制系统（DCS）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环境管控平台及台账建设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情况等。</w:t>
      </w:r>
    </w:p>
    <w:p>
      <w:pPr>
        <w:adjustRightInd w:val="0"/>
        <w:spacing w:line="560" w:lineRule="exact"/>
        <w:ind w:firstLine="640" w:firstLineChars="200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2.有组织排放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各有组织源是否按规定开展CEMS日常运行质量保证工作、CEMS监测数据是否准确有效、手工监测数据和在线监测数据是否达到超低排放浓度限值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、现场手工监测比对合格后，正常生产连续30天CEMS有效数据95%以上时段小时均值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满足《意见》中有组织排放控制指标限值要求、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自行监测数据是否满足超低排放或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排放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标准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要求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、DCS运行数据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是否满足《意见》要求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等结论。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组织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排放源相关监测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监控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和治理设施运行情况是否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接入全厂环境管控平台，逻辑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符合客观事实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等结论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无组织排放</w:t>
      </w: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无组织排放源清单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完整，所有物料储存、物料输送、协同处置及生产工艺过程控制措施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满足《意见》要求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pacing w:line="560" w:lineRule="exact"/>
        <w:ind w:firstLine="0" w:firstLineChars="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无组织废气排放控制设施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运行正常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是否满足产尘点及生产设施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无可见粉尘外逸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氨水储罐区域无明显异味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厂区整洁无积尘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的要求；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协同处置固体废物的企业，其固废贮存及预处理环节无组织废气处理措施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满足《意见》要求，无明显异味。无组织点位对应生产设施、控制措施以及监控设施信号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接入全厂环境管控平台，运行逻辑符合客观事实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等结论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4.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清洁运输</w:t>
      </w:r>
    </w:p>
    <w:p>
      <w:pPr>
        <w:pStyle w:val="11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进出企业的原燃料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运输方式、运输量、</w:t>
      </w:r>
      <w:r>
        <w:rPr>
          <w:rFonts w:hint="eastAsia" w:ascii="仿宋" w:hAnsi="仿宋" w:eastAsia="仿宋" w:cs="Times New Roman"/>
          <w:sz w:val="32"/>
          <w:szCs w:val="32"/>
        </w:rPr>
        <w:t>清洁运输比例和运输车辆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燃料类型与</w:t>
      </w:r>
      <w:r>
        <w:rPr>
          <w:rFonts w:hint="eastAsia" w:ascii="仿宋" w:hAnsi="仿宋" w:eastAsia="仿宋" w:cs="Times New Roman"/>
          <w:sz w:val="32"/>
          <w:szCs w:val="32"/>
        </w:rPr>
        <w:t>排放阶段、产品运输车辆、厂内运输车辆、非道路移动机械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燃料类型与</w:t>
      </w:r>
      <w:r>
        <w:rPr>
          <w:rFonts w:hint="eastAsia" w:ascii="仿宋" w:hAnsi="仿宋" w:eastAsia="仿宋" w:cs="Times New Roman"/>
          <w:sz w:val="32"/>
          <w:szCs w:val="32"/>
        </w:rPr>
        <w:t>排放阶段，以及运输管理，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门禁及视频监控系统是否接入环境管控平台，是否</w:t>
      </w:r>
      <w:r>
        <w:rPr>
          <w:rFonts w:hint="eastAsia" w:ascii="仿宋" w:hAnsi="仿宋" w:eastAsia="仿宋" w:cs="Times New Roman"/>
          <w:sz w:val="32"/>
          <w:szCs w:val="32"/>
        </w:rPr>
        <w:t>满足《意见》要求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等结论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四、企业实施超低排放改造取得的减排效果</w:t>
      </w:r>
    </w:p>
    <w:p>
      <w:pPr>
        <w:pStyle w:val="11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1.实施超低排放改造后，企业每年取得的主要污染物减排效果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1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ascii="仿宋" w:hAnsi="仿宋" w:eastAsia="仿宋" w:cs="Times New Roman"/>
          <w:sz w:val="32"/>
          <w:szCs w:val="32"/>
        </w:rPr>
        <w:t>有组织排放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源</w:t>
      </w:r>
      <w:r>
        <w:rPr>
          <w:rFonts w:ascii="仿宋" w:hAnsi="仿宋" w:eastAsia="仿宋" w:cs="Times New Roman"/>
          <w:sz w:val="32"/>
          <w:szCs w:val="32"/>
        </w:rPr>
        <w:t>、无组织排放、清洁运输以及全厂等照片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-1"/>
          <w:numId w:val="0"/>
        </w:numPr>
        <w:spacing w:line="560" w:lineRule="exact"/>
        <w:ind w:firstLine="640" w:firstLineChars="200"/>
        <w:jc w:val="both"/>
        <w:rPr>
          <w:rFonts w:hint="default" w:eastAsia="黑体" w:asciiTheme="minorHAnsi" w:hAnsiTheme="minorHAnsi" w:cstheme="minorBidi"/>
          <w:sz w:val="32"/>
          <w:szCs w:val="32"/>
        </w:rPr>
      </w:pPr>
      <w:r>
        <w:rPr>
          <w:rFonts w:hint="eastAsia" w:eastAsia="黑体" w:asciiTheme="minorHAnsi" w:hAnsiTheme="minorHAnsi" w:cstheme="minorBidi"/>
          <w:sz w:val="32"/>
          <w:szCs w:val="32"/>
          <w:lang w:val="en-US" w:eastAsia="zh-CN"/>
        </w:rPr>
        <w:t>五、</w:t>
      </w:r>
      <w:r>
        <w:rPr>
          <w:rFonts w:hint="default" w:eastAsia="黑体" w:asciiTheme="minorHAnsi" w:hAnsiTheme="minorHAnsi" w:cstheme="minorBidi"/>
          <w:sz w:val="32"/>
          <w:szCs w:val="32"/>
        </w:rPr>
        <w:t>超低排放改造、评估监测过程中遇到的问题及建议</w:t>
      </w:r>
    </w:p>
    <w:p>
      <w:pPr>
        <w:pStyle w:val="11"/>
        <w:spacing w:line="560" w:lineRule="exact"/>
        <w:ind w:firstLine="640" w:firstLineChars="200"/>
        <w:jc w:val="both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企业下一步持续稳定达到超低排放、减污降碳协同、清洁运输比例提升、环境管理水平提高等方面的建议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0F208E-5478-43B9-A0EB-7658384926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521B5C5-A902-4C74-90A1-B7B236D9542D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F7897EB-2202-4AA8-849F-4E1AABEA9B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84AAC54-783D-4088-B5E6-893BA60F60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DljODhiN2MxMWU2YjdjNGE1ZTBkNTMwMmUyZWYifQ=="/>
  </w:docVars>
  <w:rsids>
    <w:rsidRoot w:val="00B364C8"/>
    <w:rsid w:val="001339D8"/>
    <w:rsid w:val="00295883"/>
    <w:rsid w:val="00303F39"/>
    <w:rsid w:val="0041791C"/>
    <w:rsid w:val="00446E4F"/>
    <w:rsid w:val="0054228F"/>
    <w:rsid w:val="00901733"/>
    <w:rsid w:val="0090775E"/>
    <w:rsid w:val="00B364C8"/>
    <w:rsid w:val="00C21B0F"/>
    <w:rsid w:val="00CB21D2"/>
    <w:rsid w:val="00D157EB"/>
    <w:rsid w:val="00E3779A"/>
    <w:rsid w:val="028D6E3D"/>
    <w:rsid w:val="04FC24D2"/>
    <w:rsid w:val="099D0853"/>
    <w:rsid w:val="09FD44B4"/>
    <w:rsid w:val="128B2D37"/>
    <w:rsid w:val="14883EEC"/>
    <w:rsid w:val="16ED6288"/>
    <w:rsid w:val="171C5D03"/>
    <w:rsid w:val="19283509"/>
    <w:rsid w:val="1B395C09"/>
    <w:rsid w:val="21F135D0"/>
    <w:rsid w:val="22F8061B"/>
    <w:rsid w:val="236642FA"/>
    <w:rsid w:val="251934A0"/>
    <w:rsid w:val="2608092C"/>
    <w:rsid w:val="30CE0301"/>
    <w:rsid w:val="49416BFC"/>
    <w:rsid w:val="49D30C11"/>
    <w:rsid w:val="4A283338"/>
    <w:rsid w:val="4FC443BB"/>
    <w:rsid w:val="51B274E1"/>
    <w:rsid w:val="545672F4"/>
    <w:rsid w:val="547E7F44"/>
    <w:rsid w:val="54EB77EC"/>
    <w:rsid w:val="55AC37E9"/>
    <w:rsid w:val="59977C6E"/>
    <w:rsid w:val="5BF25E0E"/>
    <w:rsid w:val="5CAB1AF3"/>
    <w:rsid w:val="5E31427A"/>
    <w:rsid w:val="6CEB7000"/>
    <w:rsid w:val="6FE36DA3"/>
    <w:rsid w:val="711A51AA"/>
    <w:rsid w:val="732E41D2"/>
    <w:rsid w:val="74D97BD1"/>
    <w:rsid w:val="7A044D84"/>
    <w:rsid w:val="7E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39"/>
  </w:style>
  <w:style w:type="paragraph" w:styleId="7">
    <w:name w:val="toc 2"/>
    <w:basedOn w:val="1"/>
    <w:next w:val="1"/>
    <w:autoRedefine/>
    <w:qFormat/>
    <w:uiPriority w:val="39"/>
    <w:pPr>
      <w:ind w:left="420" w:leftChars="200"/>
    </w:pPr>
  </w:style>
  <w:style w:type="paragraph" w:styleId="10">
    <w:name w:val="List Paragraph"/>
    <w:basedOn w:val="1"/>
    <w:autoRedefine/>
    <w:unhideWhenUsed/>
    <w:qFormat/>
    <w:uiPriority w:val="1"/>
    <w:pPr>
      <w:ind w:left="109" w:right="100" w:firstLine="640"/>
    </w:pPr>
    <w:rPr>
      <w:rFonts w:hint="eastAsia"/>
      <w:sz w:val="24"/>
    </w:r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1325</Words>
  <Characters>1358</Characters>
  <Lines>23</Lines>
  <Paragraphs>6</Paragraphs>
  <TotalTime>314</TotalTime>
  <ScaleCrop>false</ScaleCrop>
  <LinksUpToDate>false</LinksUpToDate>
  <CharactersWithSpaces>1358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2024-01-02T01:52:00Z</dcterms:created>
  <dc:creator>赵旭东</dc:creator>
  <cp:lastModifiedBy>罗莹</cp:lastModifiedBy>
  <cp:lastPrinted>2024-02-26T02:29:00Z</cp:lastPrinted>
  <dcterms:modified xsi:type="dcterms:W3CDTF">2024-07-01T06:06:29Z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8AA8AD1C363F40EABFD67A366A1311A3_13</vt:lpwstr>
  </property>
</Properties>
</file>